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48" w:rsidRPr="006E4248" w:rsidRDefault="006E4248" w:rsidP="006E4248">
      <w:pPr>
        <w:autoSpaceDE w:val="0"/>
        <w:autoSpaceDN w:val="0"/>
        <w:bidi/>
        <w:adjustRightInd w:val="0"/>
        <w:spacing w:after="0" w:line="240" w:lineRule="auto"/>
        <w:jc w:val="center"/>
        <w:rPr>
          <w:rFonts w:ascii="Simplified Arabic" w:eastAsia="Times New Roman" w:hAnsi="Simplified Arabic" w:cs="Simplified Arabic" w:hint="cs"/>
          <w:b/>
          <w:bCs/>
          <w:sz w:val="32"/>
          <w:szCs w:val="32"/>
          <w:rtl/>
        </w:rPr>
      </w:pPr>
      <w:r w:rsidRPr="006E4248">
        <w:rPr>
          <w:rFonts w:ascii="Simplified Arabic" w:eastAsia="Times New Roman" w:hAnsi="Simplified Arabic" w:cs="Simplified Arabic"/>
          <w:b/>
          <w:bCs/>
          <w:sz w:val="32"/>
          <w:szCs w:val="32"/>
          <w:rtl/>
        </w:rPr>
        <w:t>المحاضرة الثامنة</w:t>
      </w:r>
    </w:p>
    <w:p w:rsidR="006E4248" w:rsidRPr="006E4248" w:rsidRDefault="006E4248" w:rsidP="006E4248">
      <w:pPr>
        <w:autoSpaceDE w:val="0"/>
        <w:autoSpaceDN w:val="0"/>
        <w:bidi/>
        <w:adjustRightInd w:val="0"/>
        <w:spacing w:after="0" w:line="240" w:lineRule="auto"/>
        <w:jc w:val="center"/>
        <w:rPr>
          <w:rFonts w:ascii="Simplified Arabic" w:eastAsia="Times New Roman" w:hAnsi="Simplified Arabic" w:cs="Simplified Arabic" w:hint="cs"/>
          <w:b/>
          <w:bCs/>
          <w:sz w:val="32"/>
          <w:szCs w:val="32"/>
          <w:rtl/>
        </w:rPr>
      </w:pPr>
      <w:r w:rsidRPr="006E4248">
        <w:rPr>
          <w:rFonts w:ascii="Simplified Arabic" w:eastAsia="Times New Roman" w:hAnsi="Simplified Arabic" w:cs="Simplified Arabic"/>
          <w:b/>
          <w:bCs/>
          <w:sz w:val="32"/>
          <w:szCs w:val="32"/>
          <w:rtl/>
        </w:rPr>
        <w:t>مناهج السيميائية</w:t>
      </w:r>
    </w:p>
    <w:p w:rsidR="006E4248" w:rsidRPr="006E4248" w:rsidRDefault="006E4248" w:rsidP="006E4248">
      <w:pPr>
        <w:autoSpaceDE w:val="0"/>
        <w:autoSpaceDN w:val="0"/>
        <w:bidi/>
        <w:adjustRightInd w:val="0"/>
        <w:spacing w:after="0" w:line="240" w:lineRule="auto"/>
        <w:jc w:val="center"/>
        <w:rPr>
          <w:rFonts w:ascii="Simplified Arabic" w:eastAsia="Times New Roman" w:hAnsi="Simplified Arabic" w:cs="Simplified Arabic"/>
          <w:sz w:val="32"/>
          <w:szCs w:val="32"/>
          <w:rtl/>
        </w:rPr>
      </w:pPr>
      <w:bookmarkStart w:id="0" w:name="_GoBack"/>
      <w:r w:rsidRPr="006E4248">
        <w:rPr>
          <w:rFonts w:ascii="Simplified Arabic" w:eastAsia="Times New Roman" w:hAnsi="Simplified Arabic" w:cs="Simplified Arabic"/>
          <w:b/>
          <w:bCs/>
          <w:sz w:val="32"/>
          <w:szCs w:val="32"/>
          <w:rtl/>
        </w:rPr>
        <w:t>أ: سيمياء اللغة والتواصل</w:t>
      </w:r>
    </w:p>
    <w:bookmarkEnd w:id="0"/>
    <w:p w:rsidR="006E4248" w:rsidRPr="006E4248" w:rsidRDefault="006E4248" w:rsidP="006E4248">
      <w:pPr>
        <w:bidi/>
        <w:spacing w:after="0" w:line="240" w:lineRule="auto"/>
        <w:jc w:val="both"/>
        <w:rPr>
          <w:rFonts w:ascii="Simplified Arabic" w:eastAsia="Times New Roman" w:hAnsi="Simplified Arabic" w:cs="Simplified Arabic"/>
          <w:b/>
          <w:bCs/>
          <w:sz w:val="32"/>
          <w:szCs w:val="32"/>
          <w:rtl/>
        </w:rPr>
      </w:pPr>
      <w:r w:rsidRPr="006E4248">
        <w:rPr>
          <w:rFonts w:ascii="Simplified Arabic" w:eastAsia="Times New Roman" w:hAnsi="Simplified Arabic" w:cs="Simplified Arabic"/>
          <w:b/>
          <w:bCs/>
          <w:sz w:val="32"/>
          <w:szCs w:val="32"/>
          <w:rtl/>
        </w:rPr>
        <w:t>تمهيد</w:t>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ab/>
        <w:t xml:space="preserve">تعددت الاتجاهات السيميائية ومدارسها في الحقل الفكري الغربي، ولكل اتجاه من هذه الاتجاهات أصوله المعرفية ومناهجه في التحليل وأدواته الإجرائية، فنجد أن عادل فاخوري يقسمها إلى ثلاثة تيارات "التيار اللساني والتيار المنطقي والتيار السلوكي"، ومحمد </w:t>
      </w:r>
      <w:proofErr w:type="spellStart"/>
      <w:r w:rsidRPr="006E4248">
        <w:rPr>
          <w:rFonts w:ascii="Simplified Arabic" w:eastAsia="Times New Roman" w:hAnsi="Simplified Arabic" w:cs="Simplified Arabic"/>
          <w:sz w:val="32"/>
          <w:szCs w:val="32"/>
          <w:rtl/>
        </w:rPr>
        <w:t>السرخيني</w:t>
      </w:r>
      <w:proofErr w:type="spellEnd"/>
      <w:r w:rsidRPr="006E4248">
        <w:rPr>
          <w:rFonts w:ascii="Simplified Arabic" w:eastAsia="Times New Roman" w:hAnsi="Simplified Arabic" w:cs="Simplified Arabic"/>
          <w:sz w:val="32"/>
          <w:szCs w:val="32"/>
          <w:rtl/>
        </w:rPr>
        <w:t xml:space="preserve"> يقسمها إلى "الاتجاه الأمريكي، والاتجاه الفرنسي والروسي" بينما يفضل مبارك حنون حصر السيميائية في ثلاثة اتجاهات وهي: سيميائية التواصل، سيميائية الدلالة، </w:t>
      </w:r>
      <w:proofErr w:type="spellStart"/>
      <w:r w:rsidRPr="006E4248">
        <w:rPr>
          <w:rFonts w:ascii="Simplified Arabic" w:eastAsia="Times New Roman" w:hAnsi="Simplified Arabic" w:cs="Simplified Arabic"/>
          <w:sz w:val="32"/>
          <w:szCs w:val="32"/>
          <w:rtl/>
        </w:rPr>
        <w:t>وسيميائية</w:t>
      </w:r>
      <w:proofErr w:type="spellEnd"/>
      <w:r w:rsidRPr="006E4248">
        <w:rPr>
          <w:rFonts w:ascii="Simplified Arabic" w:eastAsia="Times New Roman" w:hAnsi="Simplified Arabic" w:cs="Simplified Arabic"/>
          <w:sz w:val="32"/>
          <w:szCs w:val="32"/>
          <w:rtl/>
        </w:rPr>
        <w:t xml:space="preserve"> الثقافة.</w:t>
      </w:r>
      <w:r w:rsidRPr="006E4248">
        <w:rPr>
          <w:rFonts w:ascii="Simplified Arabic" w:eastAsia="Times New Roman" w:hAnsi="Simplified Arabic" w:cs="Simplified Arabic"/>
          <w:sz w:val="32"/>
          <w:szCs w:val="32"/>
          <w:rtl/>
        </w:rPr>
        <w:footnoteReference w:id="1"/>
      </w:r>
    </w:p>
    <w:p w:rsidR="006E4248" w:rsidRPr="006E4248" w:rsidRDefault="006E4248" w:rsidP="006E4248">
      <w:pPr>
        <w:numPr>
          <w:ilvl w:val="0"/>
          <w:numId w:val="2"/>
        </w:numPr>
        <w:bidi/>
        <w:spacing w:after="0" w:line="240" w:lineRule="auto"/>
        <w:contextualSpacing/>
        <w:jc w:val="both"/>
        <w:rPr>
          <w:rFonts w:ascii="Simplified Arabic" w:eastAsia="Times New Roman" w:hAnsi="Simplified Arabic" w:cs="Simplified Arabic"/>
          <w:sz w:val="32"/>
          <w:szCs w:val="32"/>
        </w:rPr>
      </w:pPr>
      <w:r w:rsidRPr="006E4248">
        <w:rPr>
          <w:rFonts w:ascii="Simplified Arabic" w:eastAsia="Times New Roman" w:hAnsi="Simplified Arabic" w:cs="Simplified Arabic"/>
          <w:sz w:val="32"/>
          <w:szCs w:val="32"/>
          <w:rtl/>
        </w:rPr>
        <w:t>سيميائية التواصل:</w:t>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ab/>
        <w:t>كان ميلاد السيميائية التواصل مع إيريك بويسنس (</w:t>
      </w:r>
      <w:r w:rsidRPr="006E4248">
        <w:rPr>
          <w:rFonts w:ascii="Simplified Arabic" w:eastAsia="Times New Roman" w:hAnsi="Simplified Arabic" w:cs="Simplified Arabic"/>
          <w:sz w:val="32"/>
          <w:szCs w:val="32"/>
        </w:rPr>
        <w:t xml:space="preserve">Eric, </w:t>
      </w:r>
      <w:proofErr w:type="spellStart"/>
      <w:r w:rsidRPr="006E4248">
        <w:rPr>
          <w:rFonts w:ascii="Simplified Arabic" w:eastAsia="Times New Roman" w:hAnsi="Simplified Arabic" w:cs="Simplified Arabic"/>
          <w:sz w:val="32"/>
          <w:szCs w:val="32"/>
        </w:rPr>
        <w:t>Boysnes</w:t>
      </w:r>
      <w:proofErr w:type="spellEnd"/>
      <w:r w:rsidRPr="006E4248">
        <w:rPr>
          <w:rFonts w:ascii="Simplified Arabic" w:eastAsia="Times New Roman" w:hAnsi="Simplified Arabic" w:cs="Simplified Arabic"/>
          <w:sz w:val="32"/>
          <w:szCs w:val="32"/>
          <w:rtl/>
        </w:rPr>
        <w:t xml:space="preserve">) </w:t>
      </w:r>
      <w:proofErr w:type="spellStart"/>
      <w:r w:rsidRPr="006E4248">
        <w:rPr>
          <w:rFonts w:ascii="Simplified Arabic" w:eastAsia="Times New Roman" w:hAnsi="Simplified Arabic" w:cs="Simplified Arabic"/>
          <w:sz w:val="32"/>
          <w:szCs w:val="32"/>
          <w:rtl/>
        </w:rPr>
        <w:t>الذينشر</w:t>
      </w:r>
      <w:proofErr w:type="spellEnd"/>
      <w:r w:rsidRPr="006E4248">
        <w:rPr>
          <w:rFonts w:ascii="Simplified Arabic" w:eastAsia="Times New Roman" w:hAnsi="Simplified Arabic" w:cs="Simplified Arabic"/>
          <w:sz w:val="32"/>
          <w:szCs w:val="32"/>
          <w:rtl/>
        </w:rPr>
        <w:t xml:space="preserve"> في سنة 1943 مؤلفه "اللغات والخطابات" وهو محاولة في اللسانيات الوظيفية في إطار السيميولوجيا، أعيد النظر في الكتاب، ونشير سنة 1967 تحت عنوان: التواصل والتعبير اللساني المطبوعات الجامعية ببروكسل</w:t>
      </w:r>
      <w:r w:rsidRPr="006E4248">
        <w:rPr>
          <w:rFonts w:ascii="Simplified Arabic" w:eastAsia="Times New Roman" w:hAnsi="Simplified Arabic" w:cs="Simplified Arabic"/>
          <w:sz w:val="32"/>
          <w:szCs w:val="32"/>
          <w:rtl/>
        </w:rPr>
        <w:footnoteReference w:id="2"/>
      </w:r>
      <w:r w:rsidRPr="006E4248">
        <w:rPr>
          <w:rFonts w:ascii="Simplified Arabic" w:eastAsia="Times New Roman" w:hAnsi="Simplified Arabic" w:cs="Simplified Arabic"/>
          <w:sz w:val="32"/>
          <w:szCs w:val="32"/>
          <w:rtl/>
        </w:rPr>
        <w:t>، فكان من أوائل المناصرين اللسانيين في تحديدهم لسيميولوجيا التواصل.</w:t>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ab/>
        <w:t xml:space="preserve">وربط بويسنس </w:t>
      </w:r>
      <w:proofErr w:type="spellStart"/>
      <w:r w:rsidRPr="006E4248">
        <w:rPr>
          <w:rFonts w:ascii="Simplified Arabic" w:eastAsia="Times New Roman" w:hAnsi="Simplified Arabic" w:cs="Simplified Arabic"/>
          <w:sz w:val="32"/>
          <w:szCs w:val="32"/>
        </w:rPr>
        <w:t>Boysnes</w:t>
      </w:r>
      <w:proofErr w:type="spellEnd"/>
      <w:r w:rsidRPr="006E4248">
        <w:rPr>
          <w:rFonts w:ascii="Simplified Arabic" w:eastAsia="Times New Roman" w:hAnsi="Simplified Arabic" w:cs="Simplified Arabic"/>
          <w:sz w:val="32"/>
          <w:szCs w:val="32"/>
          <w:rtl/>
        </w:rPr>
        <w:t xml:space="preserve"> مع </w:t>
      </w:r>
      <w:proofErr w:type="spellStart"/>
      <w:r w:rsidRPr="006E4248">
        <w:rPr>
          <w:rFonts w:ascii="Simplified Arabic" w:eastAsia="Times New Roman" w:hAnsi="Simplified Arabic" w:cs="Simplified Arabic"/>
          <w:sz w:val="32"/>
          <w:szCs w:val="32"/>
          <w:rtl/>
        </w:rPr>
        <w:t>بريتو</w:t>
      </w:r>
      <w:proofErr w:type="spellEnd"/>
      <w:r w:rsidRPr="006E4248">
        <w:rPr>
          <w:rFonts w:ascii="Simplified Arabic" w:eastAsia="Times New Roman" w:hAnsi="Simplified Arabic" w:cs="Simplified Arabic"/>
          <w:sz w:val="32"/>
          <w:szCs w:val="32"/>
          <w:rtl/>
        </w:rPr>
        <w:t xml:space="preserve"> </w:t>
      </w:r>
      <w:proofErr w:type="spellStart"/>
      <w:r w:rsidRPr="006E4248">
        <w:rPr>
          <w:rFonts w:ascii="Simplified Arabic" w:eastAsia="Times New Roman" w:hAnsi="Simplified Arabic" w:cs="Simplified Arabic"/>
          <w:sz w:val="32"/>
          <w:szCs w:val="32"/>
        </w:rPr>
        <w:t>Brito</w:t>
      </w:r>
      <w:proofErr w:type="spellEnd"/>
      <w:r w:rsidRPr="006E4248">
        <w:rPr>
          <w:rFonts w:ascii="Simplified Arabic" w:eastAsia="Times New Roman" w:hAnsi="Simplified Arabic" w:cs="Simplified Arabic"/>
          <w:sz w:val="32"/>
          <w:szCs w:val="32"/>
          <w:rtl/>
        </w:rPr>
        <w:t xml:space="preserve"> وجورج </w:t>
      </w:r>
      <w:proofErr w:type="spellStart"/>
      <w:r w:rsidRPr="006E4248">
        <w:rPr>
          <w:rFonts w:ascii="Simplified Arabic" w:eastAsia="Times New Roman" w:hAnsi="Simplified Arabic" w:cs="Simplified Arabic"/>
          <w:sz w:val="32"/>
          <w:szCs w:val="32"/>
          <w:rtl/>
        </w:rPr>
        <w:t>مونان</w:t>
      </w:r>
      <w:proofErr w:type="spellEnd"/>
      <w:r w:rsidRPr="006E4248">
        <w:rPr>
          <w:rFonts w:ascii="Simplified Arabic" w:eastAsia="Times New Roman" w:hAnsi="Simplified Arabic" w:cs="Simplified Arabic"/>
          <w:sz w:val="32"/>
          <w:szCs w:val="32"/>
          <w:rtl/>
        </w:rPr>
        <w:t xml:space="preserve"> وأوستين </w:t>
      </w:r>
      <w:proofErr w:type="spellStart"/>
      <w:r w:rsidRPr="006E4248">
        <w:rPr>
          <w:rFonts w:ascii="Simplified Arabic" w:eastAsia="Times New Roman" w:hAnsi="Simplified Arabic" w:cs="Simplified Arabic"/>
          <w:sz w:val="32"/>
          <w:szCs w:val="32"/>
          <w:rtl/>
        </w:rPr>
        <w:t>ومارتيني</w:t>
      </w:r>
      <w:proofErr w:type="spellEnd"/>
      <w:r w:rsidRPr="006E4248">
        <w:rPr>
          <w:rFonts w:ascii="Simplified Arabic" w:eastAsia="Times New Roman" w:hAnsi="Simplified Arabic" w:cs="Simplified Arabic"/>
          <w:sz w:val="32"/>
          <w:szCs w:val="32"/>
          <w:rtl/>
        </w:rPr>
        <w:t xml:space="preserve"> بين مجال السيميولوجيا وبين الوظيفة التي تؤديها الأنظمة </w:t>
      </w:r>
      <w:proofErr w:type="spellStart"/>
      <w:r w:rsidRPr="006E4248">
        <w:rPr>
          <w:rFonts w:ascii="Simplified Arabic" w:eastAsia="Times New Roman" w:hAnsi="Simplified Arabic" w:cs="Simplified Arabic"/>
          <w:sz w:val="32"/>
          <w:szCs w:val="32"/>
          <w:rtl/>
        </w:rPr>
        <w:t>السيميولوجية</w:t>
      </w:r>
      <w:proofErr w:type="spellEnd"/>
      <w:r w:rsidRPr="006E4248">
        <w:rPr>
          <w:rFonts w:ascii="Simplified Arabic" w:eastAsia="Times New Roman" w:hAnsi="Simplified Arabic" w:cs="Simplified Arabic"/>
          <w:sz w:val="32"/>
          <w:szCs w:val="32"/>
          <w:rtl/>
        </w:rPr>
        <w:t xml:space="preserve"> سواء كانت لسانية أو غير لسانية وتلك الوظيفة فيما يتعقدون هي وظيفة التواصل، فهم يقيمون العلامة على ثلاثة أسس وهي "الدال والمدلول والقصد" وهو ما كان مفصلا للفرق بين سيميائية التواصل </w:t>
      </w:r>
      <w:proofErr w:type="spellStart"/>
      <w:r w:rsidRPr="006E4248">
        <w:rPr>
          <w:rFonts w:ascii="Simplified Arabic" w:eastAsia="Times New Roman" w:hAnsi="Simplified Arabic" w:cs="Simplified Arabic"/>
          <w:sz w:val="32"/>
          <w:szCs w:val="32"/>
          <w:rtl/>
        </w:rPr>
        <w:t>وسيميائية</w:t>
      </w:r>
      <w:proofErr w:type="spellEnd"/>
      <w:r w:rsidRPr="006E4248">
        <w:rPr>
          <w:rFonts w:ascii="Simplified Arabic" w:eastAsia="Times New Roman" w:hAnsi="Simplified Arabic" w:cs="Simplified Arabic"/>
          <w:sz w:val="32"/>
          <w:szCs w:val="32"/>
          <w:rtl/>
        </w:rPr>
        <w:t xml:space="preserve"> الدلالة، وتعرف سيميائية التواصل باعتبارها تبحث في طرق التواصل أي دراسة الوسائل المستخدمة للتأثير على الغير، والمعترف بها تلك الصفة من قبل الشخص الذي تتوخى التأثير عليه، ومن هنا تهدف سيميائية التواصل عبر علاماتها إلى الإبلاغ والتأثير على الغير عن وعي أو غير وعي.</w:t>
      </w:r>
      <w:r w:rsidRPr="006E4248">
        <w:rPr>
          <w:rFonts w:ascii="Simplified Arabic" w:eastAsia="Times New Roman" w:hAnsi="Simplified Arabic" w:cs="Simplified Arabic"/>
          <w:sz w:val="32"/>
          <w:szCs w:val="32"/>
          <w:vertAlign w:val="superscript"/>
          <w:rtl/>
        </w:rPr>
        <w:footnoteReference w:id="3"/>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lastRenderedPageBreak/>
        <w:tab/>
        <w:t>وهذا شبيه بما نص عليه الشيخ ابن سينا (توفي 427 ه)، حينما اعتبر أن العرب تقول الشعر لأحد الغرضين: أخدهما ليؤثر في النفس أمرا من الأمور، تعد به نحو فعل أو انفعال، والثاني العجب فقط أي بغية الامتاع ومداعبة الذوق الأدبي في الإنسان الذي يمتلكه.</w:t>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ab/>
        <w:t>تقوم سيميائية التواصل على دعامتين هامتين، هما محور التواصل وما يجري فيه، ومحور العلامة بأنواعها ومكوناتها وعلاقة ذلك بالقصد.</w:t>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محور التواصل وهو إما لساني أو غير لساني:</w:t>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ab/>
        <w:t xml:space="preserve">أما اللساني فهو ما يبدو وفي أشكال التعبير اللغوي أو الأفعال الكلامية التي يصدرها الناس في مواقف مجمدة فيما بينها، وهنا تقوم مفاهيم ترتبط بأعلام وضعوها وأسسوا لها من بين المفاهيم التواصل بين المتكلم والسامع، ومفهوم دارة التخاطب في سلوكية بلو </w:t>
      </w:r>
      <w:proofErr w:type="spellStart"/>
      <w:r w:rsidRPr="006E4248">
        <w:rPr>
          <w:rFonts w:ascii="Simplified Arabic" w:eastAsia="Times New Roman" w:hAnsi="Simplified Arabic" w:cs="Simplified Arabic"/>
          <w:sz w:val="32"/>
          <w:szCs w:val="32"/>
          <w:rtl/>
        </w:rPr>
        <w:t>مفيلد</w:t>
      </w:r>
      <w:proofErr w:type="spellEnd"/>
      <w:r w:rsidRPr="006E4248">
        <w:rPr>
          <w:rFonts w:ascii="Simplified Arabic" w:eastAsia="Times New Roman" w:hAnsi="Simplified Arabic" w:cs="Simplified Arabic"/>
          <w:sz w:val="32"/>
          <w:szCs w:val="32"/>
          <w:rtl/>
        </w:rPr>
        <w:t xml:space="preserve"> بحيث توضح العملية التواصلية على مقومات ثلاثة (الوضعية التي تسبق الكلام، الوضعية التي تلي الكلام".</w:t>
      </w:r>
      <w:r w:rsidRPr="006E4248">
        <w:rPr>
          <w:rFonts w:ascii="Simplified Arabic" w:eastAsia="Times New Roman" w:hAnsi="Simplified Arabic" w:cs="Simplified Arabic"/>
          <w:sz w:val="32"/>
          <w:szCs w:val="32"/>
          <w:rtl/>
        </w:rPr>
        <w:footnoteReference w:id="4"/>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ab/>
        <w:t>وفي مقابل التواصل اللساني، نجد التواصل غير اللساني والذي يضم مجموعة من الأنساق الرمزية ما سوى اللغات الطبيعية، وقد صنفه بويسنس إلى ثلاثة أقسام:</w:t>
      </w:r>
    </w:p>
    <w:p w:rsidR="006E4248" w:rsidRPr="006E4248" w:rsidRDefault="006E4248" w:rsidP="006E4248">
      <w:pPr>
        <w:numPr>
          <w:ilvl w:val="0"/>
          <w:numId w:val="1"/>
        </w:numPr>
        <w:bidi/>
        <w:spacing w:after="0" w:line="240" w:lineRule="auto"/>
        <w:contextualSpacing/>
        <w:jc w:val="both"/>
        <w:rPr>
          <w:rFonts w:ascii="Simplified Arabic" w:eastAsia="Times New Roman" w:hAnsi="Simplified Arabic" w:cs="Simplified Arabic"/>
          <w:sz w:val="32"/>
          <w:szCs w:val="32"/>
        </w:rPr>
      </w:pPr>
      <w:r w:rsidRPr="006E4248">
        <w:rPr>
          <w:rFonts w:ascii="Simplified Arabic" w:eastAsia="Times New Roman" w:hAnsi="Simplified Arabic" w:cs="Simplified Arabic"/>
          <w:sz w:val="32"/>
          <w:szCs w:val="32"/>
          <w:rtl/>
        </w:rPr>
        <w:t>العلامة النسقية (الثابتة أو القصدية): وهي التي لا قيمة لها باعتبار أنها انتجت لأجل القيمة المعترف بها، وهي تتميز بأنها ثابتة ومستمرة ومثال ذلك علامات المرور</w:t>
      </w:r>
      <w:r w:rsidRPr="006E4248">
        <w:rPr>
          <w:rFonts w:ascii="Simplified Arabic" w:eastAsia="Times New Roman" w:hAnsi="Simplified Arabic" w:cs="Simplified Arabic"/>
          <w:sz w:val="32"/>
          <w:szCs w:val="32"/>
          <w:rtl/>
        </w:rPr>
        <w:footnoteReference w:id="5"/>
      </w:r>
      <w:r w:rsidRPr="006E4248">
        <w:rPr>
          <w:rFonts w:ascii="Simplified Arabic" w:eastAsia="Times New Roman" w:hAnsi="Simplified Arabic" w:cs="Simplified Arabic"/>
          <w:sz w:val="32"/>
          <w:szCs w:val="32"/>
          <w:rtl/>
        </w:rPr>
        <w:t>، كما أن بعض العلامات تكتسب صبغة ثابتة أو متغيرة حسب المجتمع الذي انتجت فيه كالعلم أو العملة.</w:t>
      </w:r>
    </w:p>
    <w:p w:rsidR="006E4248" w:rsidRPr="006E4248" w:rsidRDefault="006E4248" w:rsidP="006E4248">
      <w:pPr>
        <w:numPr>
          <w:ilvl w:val="0"/>
          <w:numId w:val="1"/>
        </w:numPr>
        <w:bidi/>
        <w:spacing w:after="0" w:line="240" w:lineRule="auto"/>
        <w:contextualSpacing/>
        <w:jc w:val="both"/>
        <w:rPr>
          <w:rFonts w:ascii="Simplified Arabic" w:eastAsia="Times New Roman" w:hAnsi="Simplified Arabic" w:cs="Simplified Arabic"/>
          <w:sz w:val="32"/>
          <w:szCs w:val="32"/>
        </w:rPr>
      </w:pPr>
      <w:r w:rsidRPr="006E4248">
        <w:rPr>
          <w:rFonts w:ascii="Simplified Arabic" w:eastAsia="Times New Roman" w:hAnsi="Simplified Arabic" w:cs="Simplified Arabic"/>
          <w:sz w:val="32"/>
          <w:szCs w:val="32"/>
          <w:rtl/>
        </w:rPr>
        <w:t xml:space="preserve">العلامة </w:t>
      </w:r>
      <w:proofErr w:type="spellStart"/>
      <w:r w:rsidRPr="006E4248">
        <w:rPr>
          <w:rFonts w:ascii="Simplified Arabic" w:eastAsia="Times New Roman" w:hAnsi="Simplified Arabic" w:cs="Simplified Arabic"/>
          <w:sz w:val="32"/>
          <w:szCs w:val="32"/>
          <w:rtl/>
        </w:rPr>
        <w:t>اللانسقية</w:t>
      </w:r>
      <w:proofErr w:type="spellEnd"/>
      <w:r w:rsidRPr="006E4248">
        <w:rPr>
          <w:rFonts w:ascii="Simplified Arabic" w:eastAsia="Times New Roman" w:hAnsi="Simplified Arabic" w:cs="Simplified Arabic"/>
          <w:sz w:val="32"/>
          <w:szCs w:val="32"/>
          <w:rtl/>
        </w:rPr>
        <w:t xml:space="preserve"> (المتغيرة أو غير الثابتة): وهي التي تتغير فيها العلاقة بين طرفيها بحسب الظرف والحاجة كما في الملصقات الإشهارية التي توظف اللون والشكل بهدف التأثير على المستهلك وشد انتباهه إلى نوع معين من السلع في ظرف خاص قد يزول بزوال السلعة، أو الرغبة في تسويقها.</w:t>
      </w:r>
      <w:r w:rsidRPr="006E4248">
        <w:rPr>
          <w:rFonts w:ascii="Simplified Arabic" w:eastAsia="Times New Roman" w:hAnsi="Simplified Arabic" w:cs="Simplified Arabic"/>
          <w:sz w:val="32"/>
          <w:szCs w:val="32"/>
          <w:rtl/>
        </w:rPr>
        <w:footnoteReference w:id="6"/>
      </w:r>
    </w:p>
    <w:p w:rsidR="006E4248" w:rsidRPr="006E4248" w:rsidRDefault="006E4248" w:rsidP="006E4248">
      <w:pPr>
        <w:numPr>
          <w:ilvl w:val="0"/>
          <w:numId w:val="1"/>
        </w:numPr>
        <w:bidi/>
        <w:spacing w:after="0" w:line="240" w:lineRule="auto"/>
        <w:contextualSpacing/>
        <w:jc w:val="both"/>
        <w:rPr>
          <w:rFonts w:ascii="Simplified Arabic" w:eastAsia="Times New Roman" w:hAnsi="Simplified Arabic" w:cs="Simplified Arabic"/>
          <w:sz w:val="32"/>
          <w:szCs w:val="32"/>
        </w:rPr>
      </w:pPr>
      <w:r w:rsidRPr="006E4248">
        <w:rPr>
          <w:rFonts w:ascii="Simplified Arabic" w:eastAsia="Times New Roman" w:hAnsi="Simplified Arabic" w:cs="Simplified Arabic"/>
          <w:sz w:val="32"/>
          <w:szCs w:val="32"/>
          <w:rtl/>
        </w:rPr>
        <w:t xml:space="preserve">العلامة العفوية: وهي التي تتكون من الوقائع التي تمدها بإشارات دون أن تكون هذه الوقائع قد أنتجت لغة الفرض، سواء تعلق الأمر بالوقائع الطبيعية أم بالوقائع </w:t>
      </w:r>
      <w:r w:rsidRPr="006E4248">
        <w:rPr>
          <w:rFonts w:ascii="Simplified Arabic" w:eastAsia="Times New Roman" w:hAnsi="Simplified Arabic" w:cs="Simplified Arabic"/>
          <w:sz w:val="32"/>
          <w:szCs w:val="32"/>
          <w:rtl/>
        </w:rPr>
        <w:lastRenderedPageBreak/>
        <w:t>المصنوعة، ثم تحويلها إلى قصدية واضحة المعالم مثل: لون السماء الذي يشير بالنسبة لصياد السمك حالة البحر.</w:t>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محور العلامة:</w:t>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ab/>
        <w:t xml:space="preserve">وهي كما يرى </w:t>
      </w:r>
      <w:proofErr w:type="spellStart"/>
      <w:r w:rsidRPr="006E4248">
        <w:rPr>
          <w:rFonts w:ascii="Simplified Arabic" w:eastAsia="Times New Roman" w:hAnsi="Simplified Arabic" w:cs="Simplified Arabic"/>
          <w:sz w:val="32"/>
          <w:szCs w:val="32"/>
          <w:rtl/>
        </w:rPr>
        <w:t>بريتو</w:t>
      </w:r>
      <w:proofErr w:type="spellEnd"/>
      <w:r w:rsidRPr="006E4248">
        <w:rPr>
          <w:rFonts w:ascii="Simplified Arabic" w:eastAsia="Times New Roman" w:hAnsi="Simplified Arabic" w:cs="Simplified Arabic"/>
          <w:sz w:val="32"/>
          <w:szCs w:val="32"/>
          <w:rtl/>
        </w:rPr>
        <w:t xml:space="preserve"> </w:t>
      </w:r>
      <w:proofErr w:type="spellStart"/>
      <w:r w:rsidRPr="006E4248">
        <w:rPr>
          <w:rFonts w:ascii="Simplified Arabic" w:eastAsia="Times New Roman" w:hAnsi="Simplified Arabic" w:cs="Simplified Arabic"/>
          <w:sz w:val="32"/>
          <w:szCs w:val="32"/>
        </w:rPr>
        <w:t>Brito</w:t>
      </w:r>
      <w:proofErr w:type="spellEnd"/>
      <w:r w:rsidRPr="006E4248">
        <w:rPr>
          <w:rFonts w:ascii="Simplified Arabic" w:eastAsia="Times New Roman" w:hAnsi="Simplified Arabic" w:cs="Simplified Arabic"/>
          <w:sz w:val="32"/>
          <w:szCs w:val="32"/>
          <w:rtl/>
        </w:rPr>
        <w:t xml:space="preserve"> مكونة من دال ومدلول بينما مناسبة ما وتنقسم من المنظور التواصلي إلى (الإشارة، المؤشر، </w:t>
      </w:r>
      <w:proofErr w:type="spellStart"/>
      <w:r w:rsidRPr="006E4248">
        <w:rPr>
          <w:rFonts w:ascii="Simplified Arabic" w:eastAsia="Times New Roman" w:hAnsi="Simplified Arabic" w:cs="Simplified Arabic"/>
          <w:sz w:val="32"/>
          <w:szCs w:val="32"/>
          <w:rtl/>
        </w:rPr>
        <w:t>الأيقون</w:t>
      </w:r>
      <w:proofErr w:type="spellEnd"/>
      <w:r w:rsidRPr="006E4248">
        <w:rPr>
          <w:rFonts w:ascii="Simplified Arabic" w:eastAsia="Times New Roman" w:hAnsi="Simplified Arabic" w:cs="Simplified Arabic"/>
          <w:sz w:val="32"/>
          <w:szCs w:val="32"/>
          <w:rtl/>
        </w:rPr>
        <w:t>، الرمز).</w:t>
      </w:r>
      <w:r w:rsidRPr="006E4248">
        <w:rPr>
          <w:rFonts w:ascii="Simplified Arabic" w:eastAsia="Times New Roman" w:hAnsi="Simplified Arabic" w:cs="Simplified Arabic"/>
          <w:sz w:val="32"/>
          <w:szCs w:val="32"/>
          <w:rtl/>
        </w:rPr>
        <w:footnoteReference w:id="7"/>
      </w:r>
    </w:p>
    <w:p w:rsidR="006E4248" w:rsidRPr="006E4248" w:rsidRDefault="006E4248" w:rsidP="006E4248">
      <w:pPr>
        <w:bidi/>
        <w:spacing w:after="0" w:line="240" w:lineRule="auto"/>
        <w:jc w:val="both"/>
        <w:rPr>
          <w:rFonts w:ascii="Simplified Arabic" w:eastAsia="Times New Roman" w:hAnsi="Simplified Arabic" w:cs="Simplified Arabic"/>
          <w:sz w:val="32"/>
          <w:szCs w:val="32"/>
          <w:rtl/>
        </w:rPr>
      </w:pPr>
      <w:r w:rsidRPr="006E4248">
        <w:rPr>
          <w:rFonts w:ascii="Simplified Arabic" w:eastAsia="Times New Roman" w:hAnsi="Simplified Arabic" w:cs="Simplified Arabic"/>
          <w:sz w:val="32"/>
          <w:szCs w:val="32"/>
          <w:rtl/>
        </w:rPr>
        <w:tab/>
        <w:t xml:space="preserve">وإذا أخذنا بعين الاعتبار كل ما سبق فإن موضوع السيميائية هو الدلائل القائمة على القصدية التواصلية، ولهذا السبب سميت هذه السيميائية بـ "سيميائية التواصل" ويرى </w:t>
      </w:r>
      <w:proofErr w:type="spellStart"/>
      <w:r w:rsidRPr="006E4248">
        <w:rPr>
          <w:rFonts w:ascii="Simplified Arabic" w:eastAsia="Times New Roman" w:hAnsi="Simplified Arabic" w:cs="Simplified Arabic"/>
          <w:sz w:val="32"/>
          <w:szCs w:val="32"/>
          <w:rtl/>
        </w:rPr>
        <w:t>بريتو</w:t>
      </w:r>
      <w:proofErr w:type="spellEnd"/>
      <w:r w:rsidRPr="006E4248">
        <w:rPr>
          <w:rFonts w:ascii="Simplified Arabic" w:eastAsia="Times New Roman" w:hAnsi="Simplified Arabic" w:cs="Simplified Arabic"/>
          <w:sz w:val="32"/>
          <w:szCs w:val="32"/>
          <w:rtl/>
        </w:rPr>
        <w:t xml:space="preserve"> أنه من الممكن اعتبار سيميائية التواصل فرعا من السيميائية تدرس </w:t>
      </w:r>
      <w:proofErr w:type="spellStart"/>
      <w:r w:rsidRPr="006E4248">
        <w:rPr>
          <w:rFonts w:ascii="Simplified Arabic" w:eastAsia="Times New Roman" w:hAnsi="Simplified Arabic" w:cs="Simplified Arabic"/>
          <w:sz w:val="32"/>
          <w:szCs w:val="32"/>
          <w:rtl/>
        </w:rPr>
        <w:t>السيموطيقية</w:t>
      </w:r>
      <w:proofErr w:type="spellEnd"/>
      <w:r w:rsidRPr="006E4248">
        <w:rPr>
          <w:rFonts w:ascii="Simplified Arabic" w:eastAsia="Times New Roman" w:hAnsi="Simplified Arabic" w:cs="Simplified Arabic"/>
          <w:sz w:val="32"/>
          <w:szCs w:val="32"/>
          <w:rtl/>
        </w:rPr>
        <w:t xml:space="preserve"> مهما كانت وظيفتها، إلا أن سيميائية من هذا النوع مستلبس بعلوم الإنسان منظور إليها في مجموعها، إذ يبدو أن موضوع علوم الإنسان جميعا هو البنيات </w:t>
      </w:r>
      <w:proofErr w:type="spellStart"/>
      <w:r w:rsidRPr="006E4248">
        <w:rPr>
          <w:rFonts w:ascii="Simplified Arabic" w:eastAsia="Times New Roman" w:hAnsi="Simplified Arabic" w:cs="Simplified Arabic"/>
          <w:sz w:val="32"/>
          <w:szCs w:val="32"/>
          <w:rtl/>
        </w:rPr>
        <w:t>السيموطيقية</w:t>
      </w:r>
      <w:proofErr w:type="spellEnd"/>
      <w:r w:rsidRPr="006E4248">
        <w:rPr>
          <w:rFonts w:ascii="Simplified Arabic" w:eastAsia="Times New Roman" w:hAnsi="Simplified Arabic" w:cs="Simplified Arabic"/>
          <w:sz w:val="32"/>
          <w:szCs w:val="32"/>
          <w:rtl/>
        </w:rPr>
        <w:t xml:space="preserve"> التي تتميز فيما بينها إلا بالوظيفة التي تؤديها على توالي هذه البنيات.</w:t>
      </w:r>
    </w:p>
    <w:p w:rsidR="006E4248" w:rsidRPr="006E4248" w:rsidRDefault="006E4248" w:rsidP="006E4248">
      <w:pPr>
        <w:tabs>
          <w:tab w:val="left" w:pos="423"/>
        </w:tabs>
        <w:bidi/>
        <w:spacing w:after="0" w:line="240" w:lineRule="auto"/>
        <w:ind w:firstLine="567"/>
        <w:contextualSpacing/>
        <w:jc w:val="both"/>
        <w:rPr>
          <w:rFonts w:ascii="Simplified Arabic" w:eastAsia="Times New Roman" w:hAnsi="Simplified Arabic" w:cs="Simplified Arabic"/>
          <w:sz w:val="32"/>
          <w:szCs w:val="32"/>
          <w:rtl/>
        </w:rPr>
      </w:pPr>
    </w:p>
    <w:p w:rsidR="006E4248" w:rsidRPr="006E4248" w:rsidRDefault="006E4248" w:rsidP="006E4248">
      <w:pPr>
        <w:tabs>
          <w:tab w:val="left" w:pos="423"/>
        </w:tabs>
        <w:bidi/>
        <w:spacing w:after="0" w:line="240" w:lineRule="auto"/>
        <w:ind w:firstLine="567"/>
        <w:contextualSpacing/>
        <w:jc w:val="both"/>
        <w:rPr>
          <w:rFonts w:ascii="Simplified Arabic" w:eastAsia="Times New Roman" w:hAnsi="Simplified Arabic" w:cs="Simplified Arabic" w:hint="cs"/>
          <w:sz w:val="32"/>
          <w:szCs w:val="32"/>
          <w:rtl/>
        </w:rPr>
      </w:pPr>
    </w:p>
    <w:p w:rsidR="006E4248" w:rsidRPr="006E4248" w:rsidRDefault="006E4248" w:rsidP="006E4248">
      <w:pPr>
        <w:tabs>
          <w:tab w:val="left" w:pos="423"/>
        </w:tabs>
        <w:bidi/>
        <w:spacing w:after="0" w:line="240" w:lineRule="auto"/>
        <w:ind w:firstLine="567"/>
        <w:contextualSpacing/>
        <w:jc w:val="both"/>
        <w:rPr>
          <w:rFonts w:ascii="Simplified Arabic" w:eastAsia="Times New Roman" w:hAnsi="Simplified Arabic" w:cs="Simplified Arabic" w:hint="cs"/>
          <w:sz w:val="32"/>
          <w:szCs w:val="32"/>
          <w:rtl/>
        </w:rPr>
      </w:pPr>
    </w:p>
    <w:p w:rsidR="006E4248" w:rsidRPr="006E4248" w:rsidRDefault="006E4248" w:rsidP="006E4248">
      <w:pPr>
        <w:tabs>
          <w:tab w:val="left" w:pos="423"/>
        </w:tabs>
        <w:bidi/>
        <w:spacing w:after="0" w:line="240" w:lineRule="auto"/>
        <w:ind w:firstLine="567"/>
        <w:contextualSpacing/>
        <w:jc w:val="both"/>
        <w:rPr>
          <w:rFonts w:ascii="Simplified Arabic" w:eastAsia="Times New Roman" w:hAnsi="Simplified Arabic" w:cs="Simplified Arabic" w:hint="cs"/>
          <w:sz w:val="32"/>
          <w:szCs w:val="32"/>
          <w:rtl/>
        </w:rPr>
      </w:pPr>
    </w:p>
    <w:p w:rsidR="006E4248" w:rsidRPr="006E4248" w:rsidRDefault="006E4248" w:rsidP="006E4248">
      <w:pPr>
        <w:tabs>
          <w:tab w:val="left" w:pos="423"/>
        </w:tabs>
        <w:bidi/>
        <w:spacing w:after="0" w:line="240" w:lineRule="auto"/>
        <w:ind w:firstLine="567"/>
        <w:contextualSpacing/>
        <w:jc w:val="both"/>
        <w:rPr>
          <w:rFonts w:ascii="Simplified Arabic" w:eastAsia="Times New Roman" w:hAnsi="Simplified Arabic" w:cs="Simplified Arabic" w:hint="cs"/>
          <w:sz w:val="32"/>
          <w:szCs w:val="32"/>
          <w:rtl/>
        </w:rPr>
      </w:pPr>
    </w:p>
    <w:p w:rsidR="006E4248" w:rsidRPr="006E4248" w:rsidRDefault="006E4248" w:rsidP="006E4248">
      <w:pPr>
        <w:tabs>
          <w:tab w:val="left" w:pos="423"/>
        </w:tabs>
        <w:bidi/>
        <w:spacing w:after="0" w:line="240" w:lineRule="auto"/>
        <w:ind w:firstLine="567"/>
        <w:contextualSpacing/>
        <w:jc w:val="both"/>
        <w:rPr>
          <w:rFonts w:ascii="Simplified Arabic" w:eastAsia="Times New Roman" w:hAnsi="Simplified Arabic" w:cs="Simplified Arabic" w:hint="cs"/>
          <w:sz w:val="32"/>
          <w:szCs w:val="32"/>
          <w:rtl/>
        </w:rPr>
      </w:pPr>
    </w:p>
    <w:p w:rsidR="006E4248" w:rsidRPr="006E4248" w:rsidRDefault="006E4248" w:rsidP="006E4248">
      <w:pPr>
        <w:tabs>
          <w:tab w:val="left" w:pos="423"/>
        </w:tabs>
        <w:bidi/>
        <w:spacing w:after="0" w:line="240" w:lineRule="auto"/>
        <w:ind w:firstLine="567"/>
        <w:contextualSpacing/>
        <w:jc w:val="both"/>
        <w:rPr>
          <w:rFonts w:ascii="Simplified Arabic" w:eastAsia="Times New Roman" w:hAnsi="Simplified Arabic" w:cs="Simplified Arabic" w:hint="cs"/>
          <w:sz w:val="32"/>
          <w:szCs w:val="32"/>
          <w:rtl/>
        </w:rPr>
      </w:pPr>
    </w:p>
    <w:p w:rsidR="006E4248" w:rsidRPr="006E4248" w:rsidRDefault="006E4248" w:rsidP="006E4248">
      <w:pPr>
        <w:tabs>
          <w:tab w:val="left" w:pos="423"/>
        </w:tabs>
        <w:bidi/>
        <w:spacing w:after="0" w:line="240" w:lineRule="auto"/>
        <w:ind w:firstLine="567"/>
        <w:contextualSpacing/>
        <w:jc w:val="both"/>
        <w:rPr>
          <w:rFonts w:ascii="Simplified Arabic" w:eastAsia="Times New Roman" w:hAnsi="Simplified Arabic" w:cs="Simplified Arabic" w:hint="cs"/>
          <w:sz w:val="32"/>
          <w:szCs w:val="32"/>
          <w:rtl/>
        </w:rPr>
      </w:pPr>
    </w:p>
    <w:p w:rsidR="00CF47CC" w:rsidRDefault="00CF47CC" w:rsidP="006E4248">
      <w:pPr>
        <w:bidi/>
      </w:pPr>
    </w:p>
    <w:sectPr w:rsidR="00CF47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73" w:rsidRDefault="00493E73" w:rsidP="006E4248">
      <w:pPr>
        <w:spacing w:after="0" w:line="240" w:lineRule="auto"/>
      </w:pPr>
      <w:r>
        <w:separator/>
      </w:r>
    </w:p>
  </w:endnote>
  <w:endnote w:type="continuationSeparator" w:id="0">
    <w:p w:rsidR="00493E73" w:rsidRDefault="00493E73" w:rsidP="006E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73" w:rsidRDefault="00493E73" w:rsidP="006E4248">
      <w:pPr>
        <w:spacing w:after="0" w:line="240" w:lineRule="auto"/>
      </w:pPr>
      <w:r>
        <w:separator/>
      </w:r>
    </w:p>
  </w:footnote>
  <w:footnote w:type="continuationSeparator" w:id="0">
    <w:p w:rsidR="00493E73" w:rsidRDefault="00493E73" w:rsidP="006E4248">
      <w:pPr>
        <w:spacing w:after="0" w:line="240" w:lineRule="auto"/>
      </w:pPr>
      <w:r>
        <w:continuationSeparator/>
      </w:r>
    </w:p>
  </w:footnote>
  <w:footnote w:id="1">
    <w:p w:rsidR="006E4248" w:rsidRPr="00A53982" w:rsidRDefault="006E4248" w:rsidP="006E4248">
      <w:pPr>
        <w:pStyle w:val="a3"/>
        <w:rPr>
          <w:sz w:val="24"/>
          <w:szCs w:val="24"/>
          <w:rtl/>
          <w:lang w:bidi="ar-DZ"/>
        </w:rPr>
      </w:pPr>
      <w:r w:rsidRPr="00A53982">
        <w:rPr>
          <w:rStyle w:val="a4"/>
          <w:sz w:val="24"/>
          <w:szCs w:val="24"/>
        </w:rPr>
        <w:footnoteRef/>
      </w:r>
      <w:r w:rsidRPr="00A53982">
        <w:rPr>
          <w:sz w:val="24"/>
          <w:szCs w:val="24"/>
        </w:rPr>
        <w:t xml:space="preserve"> </w:t>
      </w:r>
      <w:r w:rsidRPr="00A53982">
        <w:rPr>
          <w:rFonts w:hint="cs"/>
          <w:sz w:val="24"/>
          <w:szCs w:val="24"/>
          <w:rtl/>
          <w:lang w:bidi="ar-DZ"/>
        </w:rPr>
        <w:t>-</w:t>
      </w:r>
      <w:r w:rsidRPr="00A53982">
        <w:rPr>
          <w:rFonts w:hint="cs"/>
          <w:sz w:val="24"/>
          <w:szCs w:val="24"/>
          <w:rtl/>
        </w:rPr>
        <w:t xml:space="preserve"> فاتح علاق، التحليل السيميائي للخطاب الشعري في النقد العربي المعاصر، ص: 311.</w:t>
      </w:r>
    </w:p>
  </w:footnote>
  <w:footnote w:id="2">
    <w:p w:rsidR="006E4248" w:rsidRPr="00A53982" w:rsidRDefault="006E4248" w:rsidP="006E4248">
      <w:pPr>
        <w:pStyle w:val="a3"/>
        <w:rPr>
          <w:sz w:val="24"/>
          <w:szCs w:val="24"/>
          <w:rtl/>
          <w:lang w:bidi="ar-DZ"/>
        </w:rPr>
      </w:pPr>
      <w:r w:rsidRPr="00A53982">
        <w:rPr>
          <w:rStyle w:val="a4"/>
          <w:sz w:val="24"/>
          <w:szCs w:val="24"/>
        </w:rPr>
        <w:footnoteRef/>
      </w:r>
      <w:r w:rsidRPr="00A53982">
        <w:rPr>
          <w:sz w:val="24"/>
          <w:szCs w:val="24"/>
        </w:rPr>
        <w:t xml:space="preserve"> </w:t>
      </w:r>
      <w:r w:rsidRPr="00A53982">
        <w:rPr>
          <w:rFonts w:hint="cs"/>
          <w:sz w:val="24"/>
          <w:szCs w:val="24"/>
          <w:rtl/>
        </w:rPr>
        <w:t xml:space="preserve">- دليلة مرسلي و آخرون، مدخل إلى السيميولوجيا، تر: عبد الحميد </w:t>
      </w:r>
      <w:proofErr w:type="spellStart"/>
      <w:r w:rsidRPr="00A53982">
        <w:rPr>
          <w:rFonts w:hint="cs"/>
          <w:sz w:val="24"/>
          <w:szCs w:val="24"/>
          <w:rtl/>
        </w:rPr>
        <w:t>بورايو</w:t>
      </w:r>
      <w:proofErr w:type="spellEnd"/>
      <w:r w:rsidRPr="00A53982">
        <w:rPr>
          <w:rFonts w:hint="cs"/>
          <w:sz w:val="24"/>
          <w:szCs w:val="24"/>
          <w:rtl/>
        </w:rPr>
        <w:t>، ديوان المطبوعات الجامعية، الجزائر، د ط، 1995، ص: 15.</w:t>
      </w:r>
    </w:p>
  </w:footnote>
  <w:footnote w:id="3">
    <w:p w:rsidR="006E4248" w:rsidRPr="00A53982" w:rsidRDefault="006E4248" w:rsidP="006E4248">
      <w:pPr>
        <w:pStyle w:val="a3"/>
        <w:rPr>
          <w:sz w:val="24"/>
          <w:szCs w:val="24"/>
          <w:rtl/>
          <w:lang w:bidi="ar-DZ"/>
        </w:rPr>
      </w:pPr>
      <w:r w:rsidRPr="00A53982">
        <w:rPr>
          <w:rStyle w:val="a4"/>
          <w:sz w:val="24"/>
          <w:szCs w:val="24"/>
        </w:rPr>
        <w:footnoteRef/>
      </w:r>
      <w:r w:rsidRPr="00A53982">
        <w:rPr>
          <w:sz w:val="24"/>
          <w:szCs w:val="24"/>
        </w:rPr>
        <w:t xml:space="preserve"> </w:t>
      </w:r>
      <w:r w:rsidRPr="00A53982">
        <w:rPr>
          <w:rFonts w:hint="cs"/>
          <w:sz w:val="24"/>
          <w:szCs w:val="24"/>
          <w:rtl/>
        </w:rPr>
        <w:t xml:space="preserve">- عبيدة </w:t>
      </w:r>
      <w:proofErr w:type="spellStart"/>
      <w:r w:rsidRPr="00A53982">
        <w:rPr>
          <w:rFonts w:hint="cs"/>
          <w:sz w:val="24"/>
          <w:szCs w:val="24"/>
          <w:rtl/>
        </w:rPr>
        <w:t>صبطي</w:t>
      </w:r>
      <w:proofErr w:type="spellEnd"/>
      <w:r w:rsidRPr="00A53982">
        <w:rPr>
          <w:rFonts w:hint="cs"/>
          <w:sz w:val="24"/>
          <w:szCs w:val="24"/>
          <w:rtl/>
        </w:rPr>
        <w:t xml:space="preserve">، نجيب بخوش، مدخل إلى السيميولوجيا، دار </w:t>
      </w:r>
      <w:proofErr w:type="spellStart"/>
      <w:r w:rsidRPr="00A53982">
        <w:rPr>
          <w:rFonts w:hint="cs"/>
          <w:sz w:val="24"/>
          <w:szCs w:val="24"/>
          <w:rtl/>
        </w:rPr>
        <w:t>الخلدونية</w:t>
      </w:r>
      <w:proofErr w:type="spellEnd"/>
      <w:r w:rsidRPr="00A53982">
        <w:rPr>
          <w:rFonts w:hint="cs"/>
          <w:sz w:val="24"/>
          <w:szCs w:val="24"/>
          <w:rtl/>
        </w:rPr>
        <w:t>، الجزائر، ط1، 2010، ص: 25-26.</w:t>
      </w:r>
    </w:p>
  </w:footnote>
  <w:footnote w:id="4">
    <w:p w:rsidR="006E4248" w:rsidRPr="00A53982" w:rsidRDefault="006E4248" w:rsidP="006E4248">
      <w:pPr>
        <w:pStyle w:val="a3"/>
        <w:rPr>
          <w:sz w:val="24"/>
          <w:szCs w:val="24"/>
          <w:rtl/>
          <w:lang w:bidi="ar-DZ"/>
        </w:rPr>
      </w:pPr>
      <w:r w:rsidRPr="00A53982">
        <w:rPr>
          <w:rStyle w:val="a4"/>
          <w:sz w:val="24"/>
          <w:szCs w:val="24"/>
        </w:rPr>
        <w:footnoteRef/>
      </w:r>
      <w:r w:rsidRPr="00A53982">
        <w:rPr>
          <w:sz w:val="24"/>
          <w:szCs w:val="24"/>
        </w:rPr>
        <w:t xml:space="preserve"> </w:t>
      </w:r>
      <w:r w:rsidRPr="00A53982">
        <w:rPr>
          <w:rFonts w:hint="cs"/>
          <w:sz w:val="24"/>
          <w:szCs w:val="24"/>
          <w:rtl/>
        </w:rPr>
        <w:t>- نواري سعودي أبو زيد، الدليل النظري في علم الدلالة، بيت الحكمة، الجزائر، 2011/2012، ص: 14-15.</w:t>
      </w:r>
    </w:p>
  </w:footnote>
  <w:footnote w:id="5">
    <w:p w:rsidR="006E4248" w:rsidRPr="00A53982" w:rsidRDefault="006E4248" w:rsidP="006E4248">
      <w:pPr>
        <w:pStyle w:val="a3"/>
        <w:rPr>
          <w:sz w:val="24"/>
          <w:szCs w:val="24"/>
          <w:rtl/>
          <w:lang w:bidi="ar-DZ"/>
        </w:rPr>
      </w:pPr>
      <w:r w:rsidRPr="00A53982">
        <w:rPr>
          <w:rStyle w:val="a4"/>
          <w:sz w:val="24"/>
          <w:szCs w:val="24"/>
        </w:rPr>
        <w:footnoteRef/>
      </w:r>
      <w:r w:rsidRPr="00A53982">
        <w:rPr>
          <w:sz w:val="24"/>
          <w:szCs w:val="24"/>
        </w:rPr>
        <w:t xml:space="preserve"> </w:t>
      </w:r>
      <w:r w:rsidRPr="00A53982">
        <w:rPr>
          <w:rFonts w:hint="cs"/>
          <w:sz w:val="24"/>
          <w:szCs w:val="24"/>
          <w:rtl/>
        </w:rPr>
        <w:t>- حنون مبارك، دروس في السيميائيات، دار توبقال، الدار البيضاء، المغرب، ط 1، 1987، ص: 73.</w:t>
      </w:r>
    </w:p>
  </w:footnote>
  <w:footnote w:id="6">
    <w:p w:rsidR="006E4248" w:rsidRPr="00A53982" w:rsidRDefault="006E4248" w:rsidP="006E4248">
      <w:pPr>
        <w:pStyle w:val="a3"/>
        <w:rPr>
          <w:sz w:val="24"/>
          <w:szCs w:val="24"/>
          <w:rtl/>
          <w:lang w:bidi="ar-DZ"/>
        </w:rPr>
      </w:pPr>
      <w:r w:rsidRPr="00A53982">
        <w:rPr>
          <w:sz w:val="24"/>
          <w:szCs w:val="24"/>
          <w:lang w:val="fr-FR"/>
        </w:rPr>
        <w:t>-</w:t>
      </w:r>
      <w:r w:rsidRPr="00A53982">
        <w:rPr>
          <w:rStyle w:val="a4"/>
          <w:sz w:val="24"/>
          <w:szCs w:val="24"/>
        </w:rPr>
        <w:footnoteRef/>
      </w:r>
      <w:r w:rsidRPr="00A53982">
        <w:rPr>
          <w:sz w:val="24"/>
          <w:szCs w:val="24"/>
          <w:rtl/>
        </w:rPr>
        <w:t xml:space="preserve"> </w:t>
      </w:r>
      <w:r w:rsidRPr="00A53982">
        <w:rPr>
          <w:rFonts w:hint="cs"/>
          <w:sz w:val="24"/>
          <w:szCs w:val="24"/>
          <w:rtl/>
        </w:rPr>
        <w:t>المرجع نفس</w:t>
      </w:r>
      <w:r>
        <w:rPr>
          <w:rFonts w:hint="cs"/>
          <w:sz w:val="24"/>
          <w:szCs w:val="24"/>
          <w:rtl/>
        </w:rPr>
        <w:t>ه</w:t>
      </w:r>
      <w:r w:rsidRPr="00A53982">
        <w:rPr>
          <w:rFonts w:hint="cs"/>
          <w:sz w:val="24"/>
          <w:szCs w:val="24"/>
          <w:rtl/>
        </w:rPr>
        <w:t>، ص</w:t>
      </w:r>
      <w:r w:rsidRPr="00A53982">
        <w:rPr>
          <w:rFonts w:hint="cs"/>
          <w:sz w:val="24"/>
          <w:szCs w:val="24"/>
          <w:rtl/>
          <w:lang w:bidi="ar-DZ"/>
        </w:rPr>
        <w:t>:</w:t>
      </w:r>
      <w:r w:rsidRPr="00A53982">
        <w:rPr>
          <w:rFonts w:hint="cs"/>
          <w:sz w:val="24"/>
          <w:szCs w:val="24"/>
          <w:rtl/>
        </w:rPr>
        <w:t xml:space="preserve"> 73.</w:t>
      </w:r>
    </w:p>
  </w:footnote>
  <w:footnote w:id="7">
    <w:p w:rsidR="006E4248" w:rsidRPr="00A53982" w:rsidRDefault="006E4248" w:rsidP="006E4248">
      <w:pPr>
        <w:pStyle w:val="a3"/>
        <w:rPr>
          <w:sz w:val="24"/>
          <w:szCs w:val="24"/>
          <w:rtl/>
          <w:lang w:bidi="ar-DZ"/>
        </w:rPr>
      </w:pPr>
      <w:r w:rsidRPr="00A53982">
        <w:rPr>
          <w:rStyle w:val="a4"/>
          <w:sz w:val="24"/>
          <w:szCs w:val="24"/>
        </w:rPr>
        <w:footnoteRef/>
      </w:r>
      <w:r w:rsidRPr="00A53982">
        <w:rPr>
          <w:sz w:val="24"/>
          <w:szCs w:val="24"/>
        </w:rPr>
        <w:t xml:space="preserve"> </w:t>
      </w:r>
      <w:r w:rsidRPr="00A53982">
        <w:rPr>
          <w:rFonts w:hint="cs"/>
          <w:sz w:val="24"/>
          <w:szCs w:val="24"/>
          <w:rtl/>
        </w:rPr>
        <w:t xml:space="preserve">- نواري سعودي أبو </w:t>
      </w:r>
      <w:proofErr w:type="spellStart"/>
      <w:r w:rsidRPr="00A53982">
        <w:rPr>
          <w:rFonts w:hint="cs"/>
          <w:sz w:val="24"/>
          <w:szCs w:val="24"/>
          <w:rtl/>
        </w:rPr>
        <w:t>زيدة</w:t>
      </w:r>
      <w:proofErr w:type="spellEnd"/>
      <w:r w:rsidRPr="00A53982">
        <w:rPr>
          <w:rFonts w:hint="cs"/>
          <w:sz w:val="24"/>
          <w:szCs w:val="24"/>
          <w:rtl/>
        </w:rPr>
        <w:t>، الدليل النظري في علم الدلالة، ص: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2107"/>
    <w:multiLevelType w:val="hybridMultilevel"/>
    <w:tmpl w:val="380C967C"/>
    <w:lvl w:ilvl="0" w:tplc="CD1AFFD6">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1901CE"/>
    <w:multiLevelType w:val="hybridMultilevel"/>
    <w:tmpl w:val="7888540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48"/>
    <w:rsid w:val="00493E73"/>
    <w:rsid w:val="006E4248"/>
    <w:rsid w:val="00CF47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Char Char,حاشية"/>
    <w:basedOn w:val="a"/>
    <w:link w:val="Char"/>
    <w:uiPriority w:val="99"/>
    <w:unhideWhenUsed/>
    <w:rsid w:val="006E4248"/>
    <w:pPr>
      <w:bidi/>
      <w:spacing w:after="0" w:line="240" w:lineRule="auto"/>
    </w:pPr>
    <w:rPr>
      <w:rFonts w:ascii="Calibri" w:eastAsia="Calibri" w:hAnsi="Calibri" w:cs="Times New Roman"/>
      <w:sz w:val="20"/>
      <w:szCs w:val="20"/>
      <w:lang w:val="en-US" w:eastAsia="x-none"/>
    </w:rPr>
  </w:style>
  <w:style w:type="character" w:customStyle="1" w:styleId="Char">
    <w:name w:val="نص حاشية سفلية Char"/>
    <w:aliases w:val="Char Char Char Char,Char Char Char1,حاشية Char"/>
    <w:basedOn w:val="a0"/>
    <w:link w:val="a3"/>
    <w:uiPriority w:val="99"/>
    <w:rsid w:val="006E4248"/>
    <w:rPr>
      <w:rFonts w:ascii="Calibri" w:eastAsia="Calibri" w:hAnsi="Calibri" w:cs="Times New Roman"/>
      <w:sz w:val="20"/>
      <w:szCs w:val="20"/>
      <w:lang w:val="en-US" w:eastAsia="x-none"/>
    </w:rPr>
  </w:style>
  <w:style w:type="character" w:styleId="a4">
    <w:name w:val="footnote reference"/>
    <w:aliases w:val="4_GA"/>
    <w:uiPriority w:val="99"/>
    <w:unhideWhenUsed/>
    <w:rsid w:val="006E42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Char Char,حاشية"/>
    <w:basedOn w:val="a"/>
    <w:link w:val="Char"/>
    <w:uiPriority w:val="99"/>
    <w:unhideWhenUsed/>
    <w:rsid w:val="006E4248"/>
    <w:pPr>
      <w:bidi/>
      <w:spacing w:after="0" w:line="240" w:lineRule="auto"/>
    </w:pPr>
    <w:rPr>
      <w:rFonts w:ascii="Calibri" w:eastAsia="Calibri" w:hAnsi="Calibri" w:cs="Times New Roman"/>
      <w:sz w:val="20"/>
      <w:szCs w:val="20"/>
      <w:lang w:val="en-US" w:eastAsia="x-none"/>
    </w:rPr>
  </w:style>
  <w:style w:type="character" w:customStyle="1" w:styleId="Char">
    <w:name w:val="نص حاشية سفلية Char"/>
    <w:aliases w:val="Char Char Char Char,Char Char Char1,حاشية Char"/>
    <w:basedOn w:val="a0"/>
    <w:link w:val="a3"/>
    <w:uiPriority w:val="99"/>
    <w:rsid w:val="006E4248"/>
    <w:rPr>
      <w:rFonts w:ascii="Calibri" w:eastAsia="Calibri" w:hAnsi="Calibri" w:cs="Times New Roman"/>
      <w:sz w:val="20"/>
      <w:szCs w:val="20"/>
      <w:lang w:val="en-US" w:eastAsia="x-none"/>
    </w:rPr>
  </w:style>
  <w:style w:type="character" w:styleId="a4">
    <w:name w:val="footnote reference"/>
    <w:aliases w:val="4_GA"/>
    <w:uiPriority w:val="99"/>
    <w:unhideWhenUsed/>
    <w:rsid w:val="006E42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3136</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ar</dc:creator>
  <cp:lastModifiedBy>windows 7 ar</cp:lastModifiedBy>
  <cp:revision>1</cp:revision>
  <dcterms:created xsi:type="dcterms:W3CDTF">2022-03-30T20:54:00Z</dcterms:created>
  <dcterms:modified xsi:type="dcterms:W3CDTF">2022-03-30T20:56:00Z</dcterms:modified>
</cp:coreProperties>
</file>