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E4" w:rsidRDefault="001D14E4" w:rsidP="001D14E4">
      <w:pPr>
        <w:jc w:val="center"/>
        <w:rPr>
          <w:i/>
          <w:sz w:val="32"/>
          <w:szCs w:val="32"/>
        </w:rPr>
      </w:pPr>
    </w:p>
    <w:p w:rsidR="001D14E4" w:rsidRDefault="001D14E4" w:rsidP="001D14E4">
      <w:pPr>
        <w:jc w:val="center"/>
        <w:rPr>
          <w:i/>
          <w:sz w:val="32"/>
          <w:szCs w:val="32"/>
        </w:rPr>
      </w:pPr>
    </w:p>
    <w:p w:rsidR="001E4B58" w:rsidRPr="001D14E4" w:rsidRDefault="00FB3E1E" w:rsidP="001D14E4">
      <w:pPr>
        <w:bidi/>
        <w:jc w:val="center"/>
        <w:rPr>
          <w:rFonts w:cs="Times New Roman"/>
          <w:b/>
          <w:bCs/>
          <w:sz w:val="28"/>
          <w:szCs w:val="28"/>
        </w:rPr>
      </w:pPr>
      <w:r w:rsidRPr="001D14E4">
        <w:rPr>
          <w:b/>
          <w:bCs/>
          <w:i/>
          <w:sz w:val="32"/>
          <w:szCs w:val="32"/>
        </w:rPr>
        <w:t>*</w:t>
      </w:r>
      <w:r w:rsidRPr="001D14E4">
        <w:rPr>
          <w:rFonts w:cs="Times New Roman"/>
          <w:b/>
          <w:bCs/>
          <w:sz w:val="28"/>
          <w:szCs w:val="28"/>
          <w:rtl/>
        </w:rPr>
        <w:t>قائمة المراجع</w:t>
      </w:r>
    </w:p>
    <w:p w:rsidR="001D14E4" w:rsidRDefault="001D14E4" w:rsidP="001D14E4">
      <w:pPr>
        <w:jc w:val="right"/>
        <w:rPr>
          <w:rFonts w:cs="Times New Roman"/>
          <w:sz w:val="28"/>
          <w:szCs w:val="28"/>
        </w:rPr>
      </w:pPr>
    </w:p>
    <w:p w:rsidR="001D14E4" w:rsidRPr="00763291" w:rsidRDefault="001D14E4" w:rsidP="001D14E4">
      <w:pPr>
        <w:pStyle w:val="Notedebasdepage"/>
        <w:jc w:val="both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ينظر: عباس محمود عبد الواحد: " قراءة النّص وجماليات التلقي" بين المذاهب الغربية الحديثة – وتراثنا </w:t>
      </w:r>
      <w:proofErr w:type="gram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النقدي-ط1 ،</w:t>
      </w:r>
      <w:proofErr w:type="gramEnd"/>
      <w:r w:rsidRPr="00763291">
        <w:rPr>
          <w:rFonts w:ascii="Simplified Arabic" w:hAnsi="Simplified Arabic"/>
          <w:sz w:val="24"/>
          <w:szCs w:val="24"/>
          <w:rtl/>
          <w:lang w:bidi="ar-DZ"/>
        </w:rPr>
        <w:t>1996، دار الفكر العربي، ص:49</w:t>
      </w:r>
    </w:p>
    <w:p w:rsidR="001D14E4" w:rsidRDefault="001D14E4" w:rsidP="001D14E4">
      <w:pPr>
        <w:jc w:val="right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>- ينظر: المرجع نفسه، ص:53</w:t>
      </w:r>
    </w:p>
    <w:p w:rsidR="001D14E4" w:rsidRPr="00763291" w:rsidRDefault="001D14E4" w:rsidP="001D14E4">
      <w:pPr>
        <w:pStyle w:val="Notedebasdepage"/>
        <w:jc w:val="both"/>
        <w:rPr>
          <w:rFonts w:ascii="Simplified Arabic" w:hAnsi="Simplified Arabic"/>
          <w:sz w:val="24"/>
          <w:szCs w:val="24"/>
          <w:rtl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ينظر: عباس محمود عبد الواحد: </w:t>
      </w:r>
      <w:proofErr w:type="gram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المرجع</w:t>
      </w:r>
      <w:proofErr w:type="gram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 السابق، ص: 69.</w:t>
      </w:r>
    </w:p>
    <w:p w:rsidR="001D14E4" w:rsidRDefault="001D14E4" w:rsidP="001D14E4">
      <w:pPr>
        <w:jc w:val="right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عبد الله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الغذامي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>: الخطيئة والتكفير، ص:30.</w:t>
      </w:r>
    </w:p>
    <w:p w:rsidR="001D14E4" w:rsidRPr="00763291" w:rsidRDefault="001D14E4" w:rsidP="001D14E4">
      <w:pPr>
        <w:pStyle w:val="Notedebasdepage"/>
        <w:jc w:val="both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vertAlign w:val="superscript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ينظر: فاضل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ثامر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>: اللّغة الثانية، ص:45-46.</w:t>
      </w:r>
    </w:p>
    <w:p w:rsidR="001D14E4" w:rsidRDefault="001D14E4" w:rsidP="001D14E4">
      <w:pPr>
        <w:jc w:val="right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ينظر: بسام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قطوس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: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استراتيجية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 القراءة-التأصيل والإجراء النقدي –الطبعة 1998، دار الكندي للنشر والتوزيع -الأردن-أربد، ص:31.</w:t>
      </w:r>
    </w:p>
    <w:p w:rsidR="001D14E4" w:rsidRDefault="001D14E4" w:rsidP="001D14E4">
      <w:pPr>
        <w:jc w:val="right"/>
        <w:rPr>
          <w:rFonts w:ascii="Simplified Arabic" w:hAnsi="Simplified Arabic"/>
          <w:sz w:val="24"/>
          <w:szCs w:val="24"/>
          <w:lang w:bidi="ar-DZ"/>
        </w:rPr>
      </w:pPr>
    </w:p>
    <w:p w:rsidR="001D14E4" w:rsidRPr="00763291" w:rsidRDefault="001D14E4" w:rsidP="001D14E4">
      <w:pPr>
        <w:pStyle w:val="Notedebasdepage"/>
        <w:jc w:val="both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vertAlign w:val="superscript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ينظر: فاضل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ثامر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>: اللّغة الثانية، ص:48.</w:t>
      </w:r>
    </w:p>
    <w:p w:rsidR="001D14E4" w:rsidRDefault="001D14E4" w:rsidP="001D14E4">
      <w:pPr>
        <w:jc w:val="right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vertAlign w:val="superscript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>- ابن منظور: لسان العرب، مادة(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لقا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>).</w:t>
      </w:r>
    </w:p>
    <w:p w:rsidR="001D14E4" w:rsidRDefault="001D14E4" w:rsidP="001D14E4">
      <w:pPr>
        <w:jc w:val="right"/>
        <w:rPr>
          <w:rFonts w:ascii="Simplified Arabic" w:hAnsi="Simplified Arabic"/>
          <w:sz w:val="24"/>
          <w:szCs w:val="24"/>
          <w:lang w:bidi="ar-DZ"/>
        </w:rPr>
      </w:pPr>
    </w:p>
    <w:p w:rsidR="001D14E4" w:rsidRPr="00763291" w:rsidRDefault="001D14E4" w:rsidP="001D14E4">
      <w:pPr>
        <w:pStyle w:val="Notedebasdepage"/>
        <w:jc w:val="both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>- بن هادية علي وآخرون: القاموس الجديد للطلاب، ص966.</w:t>
      </w:r>
    </w:p>
    <w:p w:rsidR="001D14E4" w:rsidRDefault="001D14E4" w:rsidP="001D14E4">
      <w:pPr>
        <w:jc w:val="right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ينظر: أحمد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بوحسن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:"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اشكالات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 وتطبيقات: نظريات التلقي"، الدار البيضاء 1993، منشورات كلية الآداب والعلوم الإنسانية -الرباط: ص14-15</w:t>
      </w:r>
    </w:p>
    <w:p w:rsidR="001D14E4" w:rsidRDefault="001D14E4" w:rsidP="001D14E4">
      <w:pPr>
        <w:tabs>
          <w:tab w:val="left" w:pos="6975"/>
          <w:tab w:val="right" w:pos="8306"/>
        </w:tabs>
        <w:rPr>
          <w:rFonts w:ascii="Simplified Arabic" w:hAnsi="Simplified Arabic"/>
          <w:sz w:val="24"/>
          <w:szCs w:val="24"/>
          <w:lang w:bidi="ar-DZ"/>
        </w:rPr>
      </w:pPr>
      <w:r>
        <w:rPr>
          <w:rFonts w:ascii="Simplified Arabic" w:hAnsi="Simplified Arabic"/>
          <w:sz w:val="24"/>
          <w:szCs w:val="24"/>
          <w:lang w:bidi="ar-DZ"/>
        </w:rPr>
        <w:tab/>
      </w:r>
      <w:r>
        <w:rPr>
          <w:rFonts w:ascii="Simplified Arabic" w:hAnsi="Simplified Arabic"/>
          <w:sz w:val="24"/>
          <w:szCs w:val="24"/>
          <w:lang w:bidi="ar-DZ"/>
        </w:rPr>
        <w:tab/>
      </w:r>
    </w:p>
    <w:p w:rsidR="001D14E4" w:rsidRPr="00763291" w:rsidRDefault="001D14E4" w:rsidP="001D14E4">
      <w:pPr>
        <w:pStyle w:val="Notedebasdepage"/>
        <w:jc w:val="both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ينظر: عباس محمود عبد الواحد: " </w:t>
      </w:r>
      <w:proofErr w:type="gram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قراءة</w:t>
      </w:r>
      <w:proofErr w:type="gram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 النّص وجماليات التلقي، ص:07.</w:t>
      </w:r>
    </w:p>
    <w:p w:rsidR="001D14E4" w:rsidRDefault="001D14E4" w:rsidP="001D14E4">
      <w:pPr>
        <w:tabs>
          <w:tab w:val="left" w:pos="6975"/>
          <w:tab w:val="right" w:pos="8306"/>
        </w:tabs>
        <w:jc w:val="right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ينظر: أحمد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بوحسن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: نظريات التلقي "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اشكالات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 وتطبيقات"، ص:18.</w:t>
      </w:r>
    </w:p>
    <w:p w:rsidR="001D14E4" w:rsidRPr="00763291" w:rsidRDefault="001D14E4" w:rsidP="001D14E4">
      <w:pPr>
        <w:pStyle w:val="Notedebasdepage"/>
        <w:jc w:val="both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>- ينظر: المرجع نفسه، ص:28</w:t>
      </w:r>
    </w:p>
    <w:p w:rsidR="001D14E4" w:rsidRDefault="001D14E4" w:rsidP="001D14E4">
      <w:pPr>
        <w:tabs>
          <w:tab w:val="left" w:pos="6975"/>
          <w:tab w:val="right" w:pos="8306"/>
        </w:tabs>
        <w:jc w:val="right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فؤاد المرعي:" العلاقة بين المبدع والنص والتلقي: مجلة عالم الفكر، ع2، </w:t>
      </w:r>
      <w:proofErr w:type="gram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الكويت ،</w:t>
      </w:r>
      <w:proofErr w:type="gramEnd"/>
      <w:r w:rsidRPr="00763291">
        <w:rPr>
          <w:rFonts w:ascii="Simplified Arabic" w:hAnsi="Simplified Arabic"/>
          <w:sz w:val="24"/>
          <w:szCs w:val="24"/>
          <w:rtl/>
          <w:lang w:bidi="ar-DZ"/>
        </w:rPr>
        <w:t>1994، ص:353</w:t>
      </w:r>
    </w:p>
    <w:p w:rsidR="001D14E4" w:rsidRPr="00763291" w:rsidRDefault="001D14E4" w:rsidP="001D14E4">
      <w:pPr>
        <w:pStyle w:val="Notedebasdepage"/>
        <w:jc w:val="both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proofErr w:type="gram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-  ينظر</w:t>
      </w:r>
      <w:proofErr w:type="gramEnd"/>
      <w:r w:rsidRPr="00763291">
        <w:rPr>
          <w:rFonts w:ascii="Simplified Arabic" w:hAnsi="Simplified Arabic"/>
          <w:sz w:val="24"/>
          <w:szCs w:val="24"/>
          <w:rtl/>
          <w:lang w:bidi="ar-DZ"/>
        </w:rPr>
        <w:t>: عباس محمود عبد الواحد: قراءة النّص وجماليات التلقي، ص:25.</w:t>
      </w:r>
    </w:p>
    <w:p w:rsidR="001D14E4" w:rsidRPr="00763291" w:rsidRDefault="001D14E4" w:rsidP="001D14E4">
      <w:pPr>
        <w:pStyle w:val="Notedebasdepage"/>
        <w:jc w:val="both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ينظر: أحمد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بوحسن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: نظريات التلقي"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اشكالات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 وتطبيقات"، ص:36.</w:t>
      </w:r>
    </w:p>
    <w:p w:rsidR="001D14E4" w:rsidRPr="00763291" w:rsidRDefault="001D14E4" w:rsidP="001D14E4">
      <w:pPr>
        <w:pStyle w:val="Notedebasdepage"/>
        <w:jc w:val="both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lastRenderedPageBreak/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ينظر: عباس محمود عبد الواحد: " </w:t>
      </w:r>
      <w:proofErr w:type="gram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قراءة</w:t>
      </w:r>
      <w:proofErr w:type="gram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 النّص وجماليات التلقي، ص:77</w:t>
      </w:r>
    </w:p>
    <w:p w:rsidR="001D14E4" w:rsidRDefault="001D14E4" w:rsidP="001D14E4">
      <w:pPr>
        <w:jc w:val="right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>- ينظر: المرجع نفسه: ص:78</w:t>
      </w:r>
    </w:p>
    <w:p w:rsidR="001D14E4" w:rsidRPr="00763291" w:rsidRDefault="001D14E4" w:rsidP="001D14E4">
      <w:pPr>
        <w:pStyle w:val="Notedebasdepage"/>
        <w:jc w:val="both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أحمد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حيدوش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: النّص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الادبي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 بين المبدع والمتلقي" مجلة التبيين-العدد 6-1993.ثقافية إبداعية –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الجاحظية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>: ص:18.</w:t>
      </w:r>
    </w:p>
    <w:p w:rsidR="001D14E4" w:rsidRPr="00763291" w:rsidRDefault="001D14E4" w:rsidP="001D14E4">
      <w:pPr>
        <w:pStyle w:val="Notedebasdepage"/>
        <w:jc w:val="both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ينظر: عباس محمود عبد الواحد: </w:t>
      </w:r>
      <w:proofErr w:type="gram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المرجع</w:t>
      </w:r>
      <w:proofErr w:type="gram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 السابق، ص:86-87.</w:t>
      </w:r>
    </w:p>
    <w:p w:rsidR="001D14E4" w:rsidRPr="00763291" w:rsidRDefault="001D14E4" w:rsidP="001D14E4">
      <w:pPr>
        <w:pStyle w:val="Notedebasdepage"/>
        <w:jc w:val="both"/>
        <w:rPr>
          <w:rFonts w:ascii="Simplified Arabic" w:hAnsi="Simplified Arabic"/>
          <w:sz w:val="24"/>
          <w:szCs w:val="24"/>
          <w:rtl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ينظر: أحمد </w:t>
      </w:r>
      <w:proofErr w:type="spell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حيدوش</w:t>
      </w:r>
      <w:proofErr w:type="spellEnd"/>
      <w:r w:rsidRPr="00763291">
        <w:rPr>
          <w:rFonts w:ascii="Simplified Arabic" w:hAnsi="Simplified Arabic"/>
          <w:sz w:val="24"/>
          <w:szCs w:val="24"/>
          <w:rtl/>
          <w:lang w:bidi="ar-DZ"/>
        </w:rPr>
        <w:t>" النّص الأدبي بين المبدع والمتلقي"، ص: 18.</w:t>
      </w:r>
    </w:p>
    <w:p w:rsidR="001D14E4" w:rsidRPr="001D14E4" w:rsidRDefault="001D14E4" w:rsidP="001D14E4">
      <w:pPr>
        <w:jc w:val="right"/>
        <w:rPr>
          <w:rFonts w:ascii="Simplified Arabic" w:hAnsi="Simplified Arabic"/>
          <w:sz w:val="24"/>
          <w:szCs w:val="24"/>
          <w:lang w:bidi="ar-DZ"/>
        </w:rPr>
      </w:pP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(</w:t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footnoteRef/>
      </w:r>
      <w:r w:rsidRPr="00763291">
        <w:rPr>
          <w:rStyle w:val="Appelnotedebasdep"/>
          <w:rFonts w:ascii="Simplified Arabic" w:hAnsi="Simplified Arabic"/>
          <w:sz w:val="24"/>
          <w:szCs w:val="24"/>
          <w:rtl/>
        </w:rPr>
        <w:t>)</w:t>
      </w:r>
      <w:r w:rsidRPr="00763291">
        <w:rPr>
          <w:rFonts w:ascii="Simplified Arabic" w:hAnsi="Simplified Arabic"/>
          <w:sz w:val="24"/>
          <w:szCs w:val="24"/>
          <w:rtl/>
        </w:rPr>
        <w:t xml:space="preserve"> </w:t>
      </w:r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- ينظر: عباس محمود عبد الواحد: </w:t>
      </w:r>
      <w:proofErr w:type="gramStart"/>
      <w:r w:rsidRPr="00763291">
        <w:rPr>
          <w:rFonts w:ascii="Simplified Arabic" w:hAnsi="Simplified Arabic"/>
          <w:sz w:val="24"/>
          <w:szCs w:val="24"/>
          <w:rtl/>
          <w:lang w:bidi="ar-DZ"/>
        </w:rPr>
        <w:t>المرجع</w:t>
      </w:r>
      <w:proofErr w:type="gramEnd"/>
      <w:r w:rsidRPr="00763291">
        <w:rPr>
          <w:rFonts w:ascii="Simplified Arabic" w:hAnsi="Simplified Arabic"/>
          <w:sz w:val="24"/>
          <w:szCs w:val="24"/>
          <w:rtl/>
          <w:lang w:bidi="ar-DZ"/>
        </w:rPr>
        <w:t xml:space="preserve"> السابق، ص:93.</w:t>
      </w:r>
    </w:p>
    <w:sectPr w:rsidR="001D14E4" w:rsidRPr="001D14E4" w:rsidSect="008838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3E1E"/>
    <w:rsid w:val="001D14E4"/>
    <w:rsid w:val="001E4B58"/>
    <w:rsid w:val="0088382D"/>
    <w:rsid w:val="00FB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1D14E4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14E4"/>
    <w:rPr>
      <w:rFonts w:ascii="Times New Roman" w:eastAsia="Times New Roman" w:hAnsi="Times New Roman" w:cs="Times New Roman"/>
      <w:sz w:val="20"/>
      <w:szCs w:val="20"/>
      <w:lang/>
    </w:rPr>
  </w:style>
  <w:style w:type="character" w:styleId="Appelnotedebasdep">
    <w:name w:val="footnote reference"/>
    <w:uiPriority w:val="99"/>
    <w:semiHidden/>
    <w:unhideWhenUsed/>
    <w:rsid w:val="001D14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fllpc</dc:creator>
  <cp:keywords/>
  <dc:description/>
  <cp:lastModifiedBy>fllpc</cp:lastModifiedBy>
  <cp:revision>3</cp:revision>
  <dcterms:created xsi:type="dcterms:W3CDTF">2022-05-26T08:38:00Z</dcterms:created>
  <dcterms:modified xsi:type="dcterms:W3CDTF">2022-05-30T13:16:00Z</dcterms:modified>
</cp:coreProperties>
</file>