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4630804"/>
        <w:docPartObj>
          <w:docPartGallery w:val="Cover Pages"/>
          <w:docPartUnique/>
        </w:docPartObj>
      </w:sdtPr>
      <w:sdtEndPr>
        <w:rPr>
          <w:noProof/>
          <w:lang w:val="en-US" w:eastAsia="en-US"/>
        </w:rPr>
      </w:sdtEndPr>
      <w:sdtContent>
        <w:p w:rsidR="007A2802" w:rsidRDefault="007A2802"/>
        <w:p w:rsidR="007A2802" w:rsidRDefault="007A2802">
          <w:r w:rsidRPr="00AD3C53">
            <w:rPr>
              <w:noProof/>
              <w:lang w:val="en-US" w:eastAsia="en-US"/>
            </w:rPr>
            <w:pict>
              <v:group id="_x0000_s1044" style="position:absolute;margin-left:0;margin-top:0;width:564.8pt;height:799pt;flip:x;z-index:251664384;mso-width-percent:950;mso-height-percent:950;mso-position-horizontal:center;mso-position-horizontal-relative:page;mso-position-vertical:center;mso-position-vertical-relative:page;mso-width-percent:950;mso-height-percent:950" coordorigin="321,411" coordsize="11600,15018" o:allowincell="f">
                <v:rect id="_x0000_s1045" style="position:absolute;left:321;top:411;width:11600;height:15018;mso-width-percent:950;mso-height-percent:950;mso-position-horizontal:center;mso-position-horizontal-relative:margin;mso-position-vertical:center;mso-position-vertical-relative:margin;mso-width-percent:950;mso-height-percent:950"/>
                <v:rect id="_x0000_s1046" style="position:absolute;left:354;top:444;width:11527;height:1790;mso-position-horizontal:center;mso-position-horizontal-relative:page;mso-position-vertical:center;mso-position-vertical-relative:page;v-text-anchor:middle" fillcolor="#e36c0a [2409]" stroked="f">
                  <v:textbox style="mso-next-textbox:#_x0000_s1046" inset="18pt,,18pt">
                    <w:txbxContent>
                      <w:p w:rsidR="007A2802" w:rsidRDefault="007A2802" w:rsidP="007A2802">
                        <w:pPr>
                          <w:pStyle w:val="ac"/>
                          <w:rPr>
                            <w:smallCaps/>
                            <w:color w:val="FFFFFF" w:themeColor="background1"/>
                            <w:sz w:val="44"/>
                            <w:szCs w:val="44"/>
                          </w:rPr>
                        </w:pPr>
                        <w:sdt>
                          <w:sdtPr>
                            <w:rPr>
                              <w:smallCaps/>
                              <w:color w:val="FFFFFF" w:themeColor="background1"/>
                              <w:sz w:val="44"/>
                              <w:szCs w:val="44"/>
                              <w:rtl/>
                            </w:rPr>
                            <w:alias w:val="الشركة"/>
                            <w:id w:val="795097956"/>
                            <w:placeholder>
                              <w:docPart w:val="EB482DD5B42E42E9BB1D15060B3F3B4F"/>
                            </w:placeholder>
                            <w:dataBinding w:prefixMappings="xmlns:ns0='http://schemas.openxmlformats.org/officeDocument/2006/extended-properties'" w:xpath="/ns0:Properties[1]/ns0:Company[1]" w:storeItemID="{6668398D-A668-4E3E-A5EB-62B293D839F1}"/>
                            <w:text/>
                          </w:sdtPr>
                          <w:sdtContent>
                            <w:r>
                              <w:rPr>
                                <w:smallCaps/>
                                <w:color w:val="FFFFFF" w:themeColor="background1"/>
                                <w:sz w:val="44"/>
                                <w:szCs w:val="44"/>
                              </w:rPr>
                              <w:t>Dr.ARIECH MOUNIRA</w:t>
                            </w:r>
                          </w:sdtContent>
                        </w:sdt>
                      </w:p>
                    </w:txbxContent>
                  </v:textbox>
                </v:rect>
                <v:rect id="_x0000_s1047" style="position:absolute;left:354;top:9607;width:2860;height:1073" fillcolor="#943634 [2405]" stroked="f">
                  <v:fill color2="#dfa7a6 [1621]"/>
                </v:rect>
                <v:rect id="_x0000_s1048" style="position:absolute;left:3245;top:9607;width:2860;height:1073" fillcolor="#943634 [2405]" stroked="f">
                  <v:fill color2="#cf7b79 [2421]"/>
                </v:rect>
                <v:rect id="_x0000_s1049" style="position:absolute;left:6137;top:9607;width:2860;height:1073" fillcolor="#943634 [2405]" stroked="f">
                  <v:fill color2="#943634 [2405]"/>
                </v:rect>
                <v:rect id="_x0000_s1050" style="position:absolute;left:9028;top:9607;width:2860;height:1073;v-text-anchor:middle" fillcolor="#943634 [2405]" stroked="f">
                  <v:fill color2="#c4bc96 [2414]"/>
                  <v:textbox style="mso-next-textbox:#_x0000_s1050">
                    <w:txbxContent>
                      <w:sdt>
                        <w:sdtPr>
                          <w:rPr>
                            <w:rFonts w:asciiTheme="majorHAnsi" w:eastAsiaTheme="majorEastAsia" w:hAnsiTheme="majorHAnsi" w:cstheme="majorBidi"/>
                            <w:color w:val="DBE5F1" w:themeColor="accent1" w:themeTint="33"/>
                            <w:sz w:val="56"/>
                            <w:szCs w:val="56"/>
                            <w:rtl/>
                          </w:rPr>
                          <w:alias w:val="السنة"/>
                          <w:id w:val="795097976"/>
                          <w:placeholder>
                            <w:docPart w:val="2B6C9B78E8734F8EA5B19EC32207438E"/>
                          </w:placeholde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7A2802" w:rsidRDefault="007A2802" w:rsidP="007A2802">
                            <w:pPr>
                              <w:pStyle w:val="ac"/>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hint="cs"/>
                                <w:color w:val="DBE5F1" w:themeColor="accent1" w:themeTint="33"/>
                                <w:sz w:val="56"/>
                                <w:szCs w:val="56"/>
                                <w:rtl/>
                              </w:rPr>
                              <w:t>‏</w:t>
                            </w:r>
                            <w:r>
                              <w:rPr>
                                <w:rFonts w:asciiTheme="majorHAnsi" w:eastAsiaTheme="majorEastAsia" w:hAnsiTheme="majorHAnsi" w:cstheme="majorBidi"/>
                                <w:color w:val="DBE5F1" w:themeColor="accent1" w:themeTint="33"/>
                                <w:sz w:val="56"/>
                                <w:szCs w:val="56"/>
                              </w:rPr>
                              <w:t>2020</w:t>
                            </w:r>
                          </w:p>
                        </w:sdtContent>
                      </w:sdt>
                    </w:txbxContent>
                  </v:textbox>
                </v:rect>
                <v:rect id="_x0000_s1051" style="position:absolute;left:354;top:2263;width:8643;height:7316;v-text-anchor:middle" fillcolor="#9bbb59 [3206]" stroked="f">
                  <v:textbox style="mso-next-textbox:#_x0000_s1051" inset="18pt,,18pt">
                    <w:txbxContent>
                      <w:sdt>
                        <w:sdtPr>
                          <w:rPr>
                            <w:rFonts w:asciiTheme="majorHAnsi" w:eastAsiaTheme="majorEastAsia" w:hAnsiTheme="majorHAnsi" w:cstheme="majorBidi"/>
                            <w:color w:val="622423" w:themeColor="accent2" w:themeShade="7F"/>
                            <w:sz w:val="72"/>
                            <w:szCs w:val="72"/>
                          </w:rPr>
                          <w:alias w:val="العنوان"/>
                          <w:id w:val="795097961"/>
                          <w:placeholder>
                            <w:docPart w:val="5CDECD2EA7E54C449A6ABA29CC4EC6DC"/>
                          </w:placeholder>
                          <w:dataBinding w:prefixMappings="xmlns:ns0='http://schemas.openxmlformats.org/package/2006/metadata/core-properties' xmlns:ns1='http://purl.org/dc/elements/1.1/'" w:xpath="/ns0:coreProperties[1]/ns1:title[1]" w:storeItemID="{6C3C8BC8-F283-45AE-878A-BAB7291924A1}"/>
                          <w:text/>
                        </w:sdtPr>
                        <w:sdtContent>
                          <w:p w:rsidR="007A2802" w:rsidRDefault="007A2802" w:rsidP="007A2802">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MICROBIOLOGIE ALIMENTAIRE</w:t>
                            </w:r>
                          </w:p>
                        </w:sdtContent>
                      </w:sdt>
                      <w:sdt>
                        <w:sdtPr>
                          <w:rPr>
                            <w:rFonts w:ascii="Andalus" w:hAnsi="Andalus" w:cs="Andalus"/>
                            <w:color w:val="C00000"/>
                          </w:rPr>
                          <w:alias w:val="العنوان الفرعي"/>
                          <w:id w:val="795097966"/>
                          <w:placeholder>
                            <w:docPart w:val="E128D7CD10474AFB9FF329BBBFD7B0B8"/>
                          </w:placeholder>
                          <w:dataBinding w:prefixMappings="xmlns:ns0='http://schemas.openxmlformats.org/package/2006/metadata/core-properties' xmlns:ns1='http://purl.org/dc/elements/1.1/'" w:xpath="/ns0:coreProperties[1]/ns1:subject[1]" w:storeItemID="{6C3C8BC8-F283-45AE-878A-BAB7291924A1}"/>
                          <w:text/>
                        </w:sdtPr>
                        <w:sdtContent>
                          <w:p w:rsidR="007A2802" w:rsidRDefault="007A2802" w:rsidP="007A2802">
                            <w:pPr>
                              <w:jc w:val="right"/>
                              <w:rPr>
                                <w:color w:val="FFFFFF" w:themeColor="background1"/>
                                <w:sz w:val="40"/>
                                <w:szCs w:val="40"/>
                              </w:rPr>
                            </w:pPr>
                            <w:r w:rsidRPr="007A2802">
                              <w:rPr>
                                <w:rFonts w:ascii="Andalus" w:hAnsi="Andalus" w:cs="Andalus"/>
                                <w:color w:val="C00000"/>
                              </w:rPr>
                              <w:t>Le cours est destiné aux étudiants de la troisième année, spécialité : Alimentation, nutrition et pathologie</w:t>
                            </w:r>
                            <w:r>
                              <w:rPr>
                                <w:rFonts w:ascii="Andalus" w:hAnsi="Andalus" w:cs="Andalus"/>
                                <w:color w:val="C00000"/>
                              </w:rPr>
                              <w:t>s</w:t>
                            </w:r>
                            <w:r w:rsidRPr="007A2802">
                              <w:rPr>
                                <w:rFonts w:ascii="Andalus" w:hAnsi="Andalus" w:cs="Andalus"/>
                                <w:color w:val="C00000"/>
                              </w:rPr>
                              <w:t xml:space="preserve"> (Semestre 6</w:t>
                            </w:r>
                            <w:r>
                              <w:rPr>
                                <w:rFonts w:ascii="Andalus" w:hAnsi="Andalus" w:cs="Andalus"/>
                                <w:color w:val="C00000"/>
                              </w:rPr>
                              <w:t>)</w:t>
                            </w:r>
                          </w:p>
                        </w:sdtContent>
                      </w:sdt>
                      <w:p w:rsidR="007A2802" w:rsidRDefault="007A2802" w:rsidP="007A2802">
                        <w:pPr>
                          <w:jc w:val="right"/>
                          <w:rPr>
                            <w:color w:val="FFFFFF" w:themeColor="background1"/>
                            <w:sz w:val="28"/>
                            <w:szCs w:val="28"/>
                          </w:rPr>
                        </w:pPr>
                      </w:p>
                    </w:txbxContent>
                  </v:textbox>
                </v:rect>
                <v:rect id="_x0000_s1052" style="position:absolute;left:9028;top:2263;width:2859;height:7316" fillcolor="#dbe5f1 [660]" stroked="f">
                  <v:fill color2="#d4cfb3 [2734]"/>
                </v:rect>
                <v:rect id="_x0000_s1053" style="position:absolute;left:354;top:10710;width:8643;height:3937" fillcolor="#c0504d [3205]" stroked="f">
                  <v:fill color2="#d4cfb3 [2734]"/>
                </v:rect>
                <v:rect id="_x0000_s1054" style="position:absolute;left:9028;top:10710;width:2859;height:3937" fillcolor="#78c0d4 [2424]" stroked="f">
                  <v:fill color2="#d4cfb3 [2734]"/>
                </v:rect>
                <v:rect id="_x0000_s1055" style="position:absolute;left:354;top:14677;width:11527;height:716;v-text-anchor:middle" fillcolor="#943634 [2405]" stroked="f">
                  <v:textbox style="mso-next-textbox:#_x0000_s1055">
                    <w:txbxContent>
                      <w:sdt>
                        <w:sdtPr>
                          <w:rPr>
                            <w:smallCaps/>
                            <w:color w:val="FFFFFF" w:themeColor="background1"/>
                            <w:spacing w:val="60"/>
                            <w:sz w:val="28"/>
                            <w:szCs w:val="28"/>
                            <w:rtl/>
                          </w:rPr>
                          <w:alias w:val="العنوان"/>
                          <w:id w:val="795097981"/>
                          <w:placeholder>
                            <w:docPart w:val="295D198AEB074864BC22ED30F7D142A6"/>
                          </w:placeholder>
                          <w:dataBinding w:prefixMappings="xmlns:ns0='http://schemas.microsoft.com/office/2006/coverPageProps'" w:xpath="/ns0:CoverPageProperties[1]/ns0:CompanyAddress[1]" w:storeItemID="{55AF091B-3C7A-41E3-B477-F2FDAA23CFDA}"/>
                          <w:text w:multiLine="1"/>
                        </w:sdtPr>
                        <w:sdtContent>
                          <w:p w:rsidR="007A2802" w:rsidRDefault="007A2802" w:rsidP="007A2802">
                            <w:pPr>
                              <w:pStyle w:val="ac"/>
                              <w:jc w:val="center"/>
                              <w:rPr>
                                <w:smallCaps/>
                                <w:color w:val="FFFFFF" w:themeColor="background1"/>
                                <w:spacing w:val="60"/>
                                <w:sz w:val="28"/>
                                <w:szCs w:val="28"/>
                              </w:rPr>
                            </w:pPr>
                            <w:r>
                              <w:rPr>
                                <w:smallCaps/>
                                <w:color w:val="FFFFFF" w:themeColor="background1"/>
                                <w:spacing w:val="60"/>
                                <w:sz w:val="28"/>
                                <w:szCs w:val="28"/>
                              </w:rPr>
                              <w:t>Département de Microbiologie et Biochimie.</w:t>
                            </w:r>
                          </w:p>
                        </w:sdtContent>
                      </w:sdt>
                    </w:txbxContent>
                  </v:textbox>
                </v:rect>
                <w10:wrap anchorx="page" anchory="page"/>
              </v:group>
            </w:pict>
          </w:r>
        </w:p>
        <w:p w:rsidR="007A2802" w:rsidRDefault="007A2802">
          <w:pPr>
            <w:spacing w:after="200" w:line="276" w:lineRule="auto"/>
            <w:rPr>
              <w:noProof/>
              <w:lang w:val="en-US" w:eastAsia="en-US"/>
            </w:rPr>
          </w:pPr>
          <w:r>
            <w:rPr>
              <w:noProof/>
              <w:lang w:val="en-US" w:eastAsia="en-US"/>
            </w:rPr>
            <w:br w:type="page"/>
          </w:r>
        </w:p>
      </w:sdtContent>
    </w:sdt>
    <w:p w:rsidR="0035143E" w:rsidRPr="005526B6" w:rsidRDefault="0035143E" w:rsidP="0035143E">
      <w:pPr>
        <w:spacing w:line="360" w:lineRule="auto"/>
        <w:jc w:val="both"/>
        <w:rPr>
          <w:rFonts w:ascii="Calibri" w:hAnsi="Calibri" w:cs="Calibri"/>
          <w:i/>
        </w:rPr>
      </w:pPr>
      <w:r w:rsidRPr="005526B6">
        <w:rPr>
          <w:rFonts w:ascii="Calibri" w:hAnsi="Calibri" w:cs="Calibri"/>
          <w:b/>
        </w:rPr>
        <w:lastRenderedPageBreak/>
        <w:t>Semestre </w:t>
      </w:r>
      <w:r w:rsidRPr="005526B6">
        <w:rPr>
          <w:rFonts w:ascii="Calibri" w:hAnsi="Calibri" w:cs="Calibri"/>
          <w:b/>
          <w:iCs/>
        </w:rPr>
        <w:t>:</w:t>
      </w:r>
      <w:r w:rsidRPr="005526B6">
        <w:rPr>
          <w:rFonts w:ascii="Calibri" w:hAnsi="Calibri" w:cs="Calibri"/>
          <w:b/>
          <w:i/>
        </w:rPr>
        <w:t xml:space="preserve"> 6</w:t>
      </w:r>
    </w:p>
    <w:p w:rsidR="0035143E" w:rsidRPr="005526B6" w:rsidRDefault="0035143E" w:rsidP="0035143E">
      <w:pPr>
        <w:spacing w:line="360" w:lineRule="auto"/>
        <w:rPr>
          <w:rFonts w:ascii="Calibri" w:eastAsia="Times New Roman" w:hAnsi="Calibri" w:cs="Calibri"/>
          <w:lang w:eastAsia="fr-FR"/>
        </w:rPr>
      </w:pPr>
      <w:r w:rsidRPr="005526B6">
        <w:rPr>
          <w:rFonts w:ascii="Calibri" w:hAnsi="Calibri" w:cs="Calibri"/>
          <w:b/>
          <w:bCs/>
          <w:iCs/>
        </w:rPr>
        <w:t>Unité d’enseignement </w:t>
      </w:r>
      <w:r w:rsidRPr="005526B6">
        <w:rPr>
          <w:rFonts w:ascii="Calibri" w:hAnsi="Calibri" w:cs="Calibri"/>
          <w:b/>
          <w:bCs/>
          <w:sz w:val="22"/>
          <w:szCs w:val="22"/>
        </w:rPr>
        <w:t>transversales</w:t>
      </w:r>
      <w:r w:rsidRPr="005526B6">
        <w:rPr>
          <w:rFonts w:ascii="Calibri" w:hAnsi="Calibri" w:cs="Calibri"/>
          <w:b/>
          <w:bCs/>
          <w:iCs/>
        </w:rPr>
        <w:t xml:space="preserve">1 </w:t>
      </w:r>
      <w:r w:rsidRPr="005526B6">
        <w:rPr>
          <w:rFonts w:ascii="Calibri" w:hAnsi="Calibri" w:cs="Calibri"/>
          <w:b/>
          <w:bCs/>
          <w:sz w:val="22"/>
          <w:szCs w:val="22"/>
        </w:rPr>
        <w:t xml:space="preserve">UET3.2.1(O/P) : Les Microorganismes et </w:t>
      </w:r>
      <w:r w:rsidRPr="0035143E">
        <w:rPr>
          <w:rFonts w:ascii="Calibri" w:hAnsi="Calibri" w:cs="Calibri"/>
          <w:b/>
          <w:bCs/>
          <w:sz w:val="22"/>
          <w:szCs w:val="22"/>
        </w:rPr>
        <w:t>l’Alimentation</w:t>
      </w:r>
      <w:r w:rsidRPr="0035143E">
        <w:rPr>
          <w:rFonts w:ascii="Calibri" w:hAnsi="Calibri" w:cs="Calibri"/>
          <w:b/>
          <w:bCs/>
          <w:iCs/>
        </w:rPr>
        <w:t xml:space="preserve">Matière 1 : </w:t>
      </w:r>
      <w:r w:rsidRPr="0035143E">
        <w:rPr>
          <w:rFonts w:ascii="Calibri" w:hAnsi="Calibri" w:cs="Calibri"/>
          <w:sz w:val="22"/>
          <w:szCs w:val="22"/>
          <w:highlight w:val="yellow"/>
        </w:rPr>
        <w:t>Microbiologie Alimentaire</w:t>
      </w:r>
      <w:bookmarkStart w:id="0" w:name="_GoBack"/>
      <w:bookmarkEnd w:id="0"/>
    </w:p>
    <w:p w:rsidR="0035143E" w:rsidRPr="005526B6" w:rsidRDefault="0035143E" w:rsidP="0035143E">
      <w:pPr>
        <w:spacing w:line="360" w:lineRule="auto"/>
        <w:jc w:val="both"/>
        <w:rPr>
          <w:rFonts w:ascii="Calibri" w:hAnsi="Calibri" w:cs="Calibri"/>
          <w:b/>
          <w:bCs/>
          <w:iCs/>
        </w:rPr>
      </w:pPr>
      <w:r w:rsidRPr="005526B6">
        <w:rPr>
          <w:rFonts w:ascii="Calibri" w:hAnsi="Calibri" w:cs="Calibri"/>
          <w:b/>
          <w:bCs/>
          <w:iCs/>
        </w:rPr>
        <w:t>Crédits : 5</w:t>
      </w:r>
    </w:p>
    <w:p w:rsidR="0035143E" w:rsidRPr="005526B6" w:rsidRDefault="0035143E" w:rsidP="0035143E">
      <w:pPr>
        <w:spacing w:line="360" w:lineRule="auto"/>
        <w:jc w:val="both"/>
        <w:rPr>
          <w:rFonts w:ascii="Calibri" w:hAnsi="Calibri" w:cs="Calibri"/>
          <w:b/>
          <w:bCs/>
          <w:iCs/>
        </w:rPr>
      </w:pPr>
      <w:r w:rsidRPr="005526B6">
        <w:rPr>
          <w:rFonts w:ascii="Calibri" w:hAnsi="Calibri" w:cs="Calibri"/>
          <w:b/>
          <w:bCs/>
          <w:iCs/>
        </w:rPr>
        <w:t>Coefficient : 2</w:t>
      </w:r>
    </w:p>
    <w:p w:rsidR="0035143E" w:rsidRPr="005526B6" w:rsidRDefault="0035143E" w:rsidP="0035143E">
      <w:pPr>
        <w:spacing w:line="276" w:lineRule="auto"/>
        <w:jc w:val="both"/>
        <w:rPr>
          <w:rFonts w:ascii="Calibri" w:hAnsi="Calibri" w:cs="Calibri"/>
          <w:i/>
        </w:rPr>
      </w:pPr>
      <w:r w:rsidRPr="005526B6">
        <w:rPr>
          <w:rFonts w:ascii="Calibri" w:hAnsi="Calibri" w:cs="Calibri"/>
          <w:b/>
        </w:rPr>
        <w:t>Objectifs de l’enseignement</w:t>
      </w:r>
      <w:r w:rsidRPr="005526B6">
        <w:rPr>
          <w:rFonts w:ascii="Calibri" w:hAnsi="Calibri" w:cs="Calibri"/>
        </w:rPr>
        <w:t xml:space="preserve"> (</w:t>
      </w:r>
      <w:r w:rsidRPr="005526B6">
        <w:rPr>
          <w:rFonts w:ascii="Calibri" w:hAnsi="Calibri" w:cs="Calibri"/>
          <w:i/>
          <w:sz w:val="22"/>
          <w:szCs w:val="22"/>
        </w:rPr>
        <w:t>Décrire ce que l’étudiant est censé avoir acquis comme compétences après le succès à cette matière – maximum 3 lignes</w:t>
      </w:r>
      <w:r w:rsidRPr="005526B6">
        <w:rPr>
          <w:rFonts w:ascii="Calibri" w:hAnsi="Calibri" w:cs="Calibri"/>
          <w:i/>
        </w:rPr>
        <w:t>).</w:t>
      </w:r>
    </w:p>
    <w:p w:rsidR="0035143E" w:rsidRPr="005526B6" w:rsidRDefault="0035143E" w:rsidP="0035143E">
      <w:pPr>
        <w:spacing w:line="276" w:lineRule="auto"/>
        <w:jc w:val="both"/>
        <w:rPr>
          <w:rFonts w:ascii="Calibri" w:hAnsi="Calibri" w:cs="Calibri"/>
          <w:i/>
        </w:rPr>
      </w:pPr>
      <w:r w:rsidRPr="005526B6">
        <w:rPr>
          <w:rFonts w:ascii="Calibri" w:eastAsia="Times New Roman" w:hAnsi="Calibri"/>
        </w:rPr>
        <w:t>L’</w:t>
      </w:r>
      <w:r w:rsidRPr="00A20DD5">
        <w:rPr>
          <w:rFonts w:ascii="Calibri" w:eastAsia="Times New Roman" w:hAnsi="Calibri"/>
        </w:rPr>
        <w:t xml:space="preserve">objectif </w:t>
      </w:r>
      <w:r w:rsidRPr="005526B6">
        <w:rPr>
          <w:rFonts w:ascii="Calibri" w:eastAsia="Times New Roman" w:hAnsi="Calibri"/>
        </w:rPr>
        <w:t xml:space="preserve">est </w:t>
      </w:r>
      <w:r w:rsidRPr="00A20DD5">
        <w:rPr>
          <w:rFonts w:ascii="Calibri" w:eastAsia="Times New Roman" w:hAnsi="Calibri"/>
        </w:rPr>
        <w:t xml:space="preserve">de former </w:t>
      </w:r>
      <w:r w:rsidRPr="005526B6">
        <w:rPr>
          <w:rFonts w:ascii="Calibri" w:eastAsia="Times New Roman" w:hAnsi="Calibri"/>
        </w:rPr>
        <w:t xml:space="preserve">les étudiants en microbiologie alimentaires pour </w:t>
      </w:r>
      <w:r w:rsidRPr="00A20DD5">
        <w:rPr>
          <w:rFonts w:ascii="Calibri" w:eastAsia="Times New Roman" w:hAnsi="Calibri"/>
        </w:rPr>
        <w:t>oeuvrer principalement dans des laboratoires d’entreprises du secteur agroalimentaire ou des laboratoires spécialisés en analyses microbiologiques.</w:t>
      </w:r>
    </w:p>
    <w:p w:rsidR="0035143E" w:rsidRPr="005526B6" w:rsidRDefault="0035143E" w:rsidP="0035143E">
      <w:pPr>
        <w:spacing w:line="276" w:lineRule="auto"/>
        <w:jc w:val="both"/>
        <w:rPr>
          <w:rFonts w:ascii="Calibri" w:hAnsi="Calibri" w:cs="Calibri"/>
          <w:i/>
        </w:rPr>
      </w:pPr>
      <w:r w:rsidRPr="005526B6">
        <w:rPr>
          <w:rFonts w:ascii="Calibri" w:hAnsi="Calibri" w:cs="Calibri"/>
          <w:b/>
        </w:rPr>
        <w:t>Connaissances préalables recommandées (</w:t>
      </w:r>
      <w:r w:rsidRPr="005526B6">
        <w:rPr>
          <w:rFonts w:ascii="Calibri" w:hAnsi="Calibri" w:cs="Calibri"/>
          <w:i/>
          <w:sz w:val="22"/>
          <w:szCs w:val="22"/>
        </w:rPr>
        <w:t>descriptif succinct des connaissances requises pour pouvoir suivre cet enseignement – Maximum 2 lignes</w:t>
      </w:r>
      <w:r w:rsidRPr="005526B6">
        <w:rPr>
          <w:rFonts w:ascii="Calibri" w:hAnsi="Calibri" w:cs="Calibri"/>
          <w:i/>
        </w:rPr>
        <w:t>).</w:t>
      </w:r>
    </w:p>
    <w:p w:rsidR="0035143E" w:rsidRPr="005526B6" w:rsidRDefault="0035143E" w:rsidP="0035143E">
      <w:pPr>
        <w:spacing w:line="276" w:lineRule="auto"/>
        <w:jc w:val="both"/>
        <w:rPr>
          <w:rFonts w:ascii="Calibri" w:hAnsi="Calibri" w:cs="Calibri"/>
          <w:iCs/>
        </w:rPr>
      </w:pPr>
      <w:r w:rsidRPr="005526B6">
        <w:rPr>
          <w:rFonts w:ascii="Calibri" w:hAnsi="Calibri" w:cs="Calibri"/>
          <w:iCs/>
        </w:rPr>
        <w:t>Connaissances et acquis préalables en Biophysiques et Microbiologies générale.</w:t>
      </w:r>
    </w:p>
    <w:p w:rsidR="0035143E" w:rsidRPr="005526B6" w:rsidRDefault="0035143E" w:rsidP="0035143E">
      <w:pPr>
        <w:spacing w:line="276" w:lineRule="auto"/>
        <w:jc w:val="both"/>
        <w:rPr>
          <w:rFonts w:ascii="Calibri" w:hAnsi="Calibri" w:cs="Calibri"/>
          <w:b/>
        </w:rPr>
      </w:pPr>
      <w:r w:rsidRPr="005526B6">
        <w:rPr>
          <w:rFonts w:ascii="Calibri" w:hAnsi="Calibri" w:cs="Calibri"/>
          <w:b/>
        </w:rPr>
        <w:t>Contenu de la matière :</w:t>
      </w:r>
    </w:p>
    <w:p w:rsidR="0035143E" w:rsidRPr="005526B6" w:rsidRDefault="0035143E" w:rsidP="0035143E">
      <w:pPr>
        <w:rPr>
          <w:rFonts w:ascii="Calibri" w:eastAsia="Times New Roman" w:hAnsi="Calibri"/>
          <w:b/>
          <w:bCs/>
        </w:rPr>
      </w:pPr>
      <w:r w:rsidRPr="006E0A1E">
        <w:rPr>
          <w:rFonts w:ascii="Calibri" w:eastAsia="Times New Roman" w:hAnsi="Calibri"/>
          <w:b/>
          <w:bCs/>
          <w:highlight w:val="yellow"/>
        </w:rPr>
        <w:t>I - Les Relations Aliments - Microorganismes -  Consommateurs</w:t>
      </w:r>
      <w:r w:rsidR="006E0A1E">
        <w:rPr>
          <w:rFonts w:ascii="Calibri" w:eastAsia="Times New Roman" w:hAnsi="Calibri"/>
          <w:b/>
          <w:bCs/>
        </w:rPr>
        <w:t xml:space="preserve"> </w:t>
      </w:r>
      <w:r w:rsidR="006E0A1E" w:rsidRPr="00AE480F">
        <w:rPr>
          <w:rFonts w:ascii="Calibri" w:eastAsia="Times New Roman" w:hAnsi="Calibri"/>
          <w:b/>
          <w:bCs/>
          <w:color w:val="FF0000"/>
        </w:rPr>
        <w:t>** (a été dicté)</w:t>
      </w:r>
    </w:p>
    <w:p w:rsidR="0035143E" w:rsidRPr="00AE480F" w:rsidRDefault="00A97539" w:rsidP="0035143E">
      <w:pPr>
        <w:rPr>
          <w:rFonts w:ascii="Calibri" w:eastAsia="Times New Roman" w:hAnsi="Calibri"/>
          <w:b/>
          <w:bCs/>
          <w:highlight w:val="cyan"/>
        </w:rPr>
      </w:pPr>
      <w:r>
        <w:rPr>
          <w:rFonts w:ascii="Calibri" w:eastAsia="Times New Roman" w:hAnsi="Calibri"/>
          <w:b/>
          <w:bCs/>
          <w:noProof/>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19.5pt;margin-top:.3pt;width:7.15pt;height:67.5pt;z-index:251661312" strokecolor="red"/>
        </w:pict>
      </w:r>
      <w:r w:rsidR="0035143E" w:rsidRPr="00AE480F">
        <w:rPr>
          <w:rFonts w:ascii="Calibri" w:eastAsia="Times New Roman" w:hAnsi="Calibri"/>
          <w:b/>
          <w:bCs/>
          <w:highlight w:val="cyan"/>
        </w:rPr>
        <w:t>II  -  Rôle  Et  Signification  Des  Microorganismes  Dans  Les ALIMENTS</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II - 1. Sources primaires de microorganismes</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II - 2.  Altérations microbiennes des aliments</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 xml:space="preserve">II - 3 . Principaux paramètres de contrôle de la prolifération microbienne dans nos </w:t>
      </w:r>
    </w:p>
    <w:p w:rsidR="0035143E" w:rsidRPr="005526B6" w:rsidRDefault="00A97539" w:rsidP="0035143E">
      <w:pPr>
        <w:rPr>
          <w:rFonts w:ascii="Calibri" w:eastAsia="Times New Roman" w:hAnsi="Calibri"/>
        </w:rPr>
      </w:pPr>
      <w:r>
        <w:rPr>
          <w:rFonts w:ascii="Calibri" w:eastAsia="Times New Roman" w:hAnsi="Calibri"/>
          <w:noProof/>
          <w:lang w:eastAsia="fr-FR"/>
        </w:rPr>
        <w:pict>
          <v:shapetype id="_x0000_t32" coordsize="21600,21600" o:spt="32" o:oned="t" path="m,l21600,21600e" filled="f">
            <v:path arrowok="t" fillok="f" o:connecttype="none"/>
            <o:lock v:ext="edit" shapetype="t"/>
          </v:shapetype>
          <v:shape id="_x0000_s1028" type="#_x0000_t32" style="position:absolute;margin-left:310.15pt;margin-top:4.7pt;width:111pt;height:58.5pt;flip:x y;z-index:251659264" o:connectortype="straight" strokecolor="red">
            <v:stroke endarrow="block"/>
          </v:shape>
        </w:pict>
      </w:r>
      <w:r w:rsidR="0035143E" w:rsidRPr="00AE480F">
        <w:rPr>
          <w:rFonts w:ascii="Calibri" w:eastAsia="Times New Roman" w:hAnsi="Calibri"/>
          <w:highlight w:val="cyan"/>
        </w:rPr>
        <w:t>Aliments</w:t>
      </w:r>
    </w:p>
    <w:p w:rsidR="0035143E" w:rsidRPr="005526B6" w:rsidRDefault="0035143E" w:rsidP="0035143E">
      <w:pPr>
        <w:ind w:firstLine="708"/>
        <w:rPr>
          <w:rFonts w:ascii="Calibri" w:eastAsia="Times New Roman" w:hAnsi="Calibri"/>
        </w:rPr>
      </w:pPr>
      <w:r w:rsidRPr="0035143E">
        <w:rPr>
          <w:rFonts w:ascii="Calibri" w:eastAsia="Times New Roman" w:hAnsi="Calibri"/>
          <w:highlight w:val="yellow"/>
        </w:rPr>
        <w:t>II - 4 . La microbiologie prédictive.</w:t>
      </w:r>
    </w:p>
    <w:p w:rsidR="0035143E" w:rsidRPr="00AE480F" w:rsidRDefault="00A97539" w:rsidP="0035143E">
      <w:pPr>
        <w:rPr>
          <w:rFonts w:ascii="Calibri" w:eastAsia="Times New Roman" w:hAnsi="Calibri"/>
          <w:b/>
          <w:bCs/>
          <w:highlight w:val="cyan"/>
        </w:rPr>
      </w:pPr>
      <w:r>
        <w:rPr>
          <w:rFonts w:ascii="Calibri" w:eastAsia="Times New Roman" w:hAnsi="Calibri"/>
          <w:b/>
          <w:bCs/>
          <w:noProof/>
          <w:lang w:eastAsia="fr-FR"/>
        </w:rPr>
        <w:pict>
          <v:shape id="_x0000_s1032" type="#_x0000_t87" style="position:absolute;margin-left:-19.5pt;margin-top:3.9pt;width:12.75pt;height:193.5pt;z-index:251662336" strokecolor="red"/>
        </w:pict>
      </w:r>
      <w:r w:rsidR="0035143E" w:rsidRPr="00AE480F">
        <w:rPr>
          <w:rFonts w:ascii="Calibri" w:eastAsia="Times New Roman" w:hAnsi="Calibri"/>
          <w:b/>
          <w:bCs/>
          <w:highlight w:val="cyan"/>
        </w:rPr>
        <w:t>III. Les Maladies Microbiennes Transmises Par Les Aliments</w:t>
      </w:r>
    </w:p>
    <w:p w:rsidR="0035143E" w:rsidRPr="00AE480F" w:rsidRDefault="0035143E" w:rsidP="0035143E">
      <w:pPr>
        <w:rPr>
          <w:rFonts w:ascii="Calibri" w:eastAsia="Times New Roman" w:hAnsi="Calibri"/>
          <w:highlight w:val="cyan"/>
        </w:rPr>
      </w:pPr>
      <w:r w:rsidRPr="00AE480F">
        <w:rPr>
          <w:rFonts w:ascii="Calibri" w:eastAsia="Times New Roman" w:hAnsi="Calibri"/>
          <w:highlight w:val="cyan"/>
        </w:rPr>
        <w:t xml:space="preserve">III. Principales maladies bactériennes transmises  </w:t>
      </w:r>
    </w:p>
    <w:p w:rsidR="0035143E" w:rsidRPr="00AE480F" w:rsidRDefault="00A97539" w:rsidP="0035143E">
      <w:pPr>
        <w:ind w:firstLine="708"/>
        <w:rPr>
          <w:rFonts w:ascii="Calibri" w:eastAsia="Times New Roman" w:hAnsi="Calibri"/>
          <w:highlight w:val="cyan"/>
        </w:rPr>
      </w:pPr>
      <w:r>
        <w:rPr>
          <w:rFonts w:ascii="Calibri" w:eastAsia="Times New Roman" w:hAnsi="Calibri"/>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421.15pt;margin-top:4.6pt;width:87pt;height:36pt;z-index:251658240" fillcolor="white [3201]" strokecolor="red" strokeweight="2.5pt">
            <v:shadow color="#868686"/>
            <v:textbox>
              <w:txbxContent>
                <w:p w:rsidR="00AE480F" w:rsidRPr="00AE480F" w:rsidRDefault="00AE480F" w:rsidP="00AE480F">
                  <w:pPr>
                    <w:jc w:val="center"/>
                    <w:rPr>
                      <w:b/>
                      <w:bCs/>
                      <w:color w:val="FF0000"/>
                    </w:rPr>
                  </w:pPr>
                  <w:r w:rsidRPr="00AE480F">
                    <w:rPr>
                      <w:b/>
                      <w:bCs/>
                      <w:color w:val="FF0000"/>
                    </w:rPr>
                    <w:t>Voir Matière MIAA</w:t>
                  </w:r>
                </w:p>
              </w:txbxContent>
            </v:textbox>
          </v:shape>
        </w:pict>
      </w:r>
      <w:r w:rsidR="0035143E" w:rsidRPr="00AE480F">
        <w:rPr>
          <w:rFonts w:ascii="Calibri" w:eastAsia="Times New Roman" w:hAnsi="Calibri"/>
          <w:highlight w:val="cyan"/>
        </w:rPr>
        <w:t>III - 1. Toxi-infections à Salmonella</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III - 2. Entérotoxicose staphylococcique</w:t>
      </w:r>
    </w:p>
    <w:p w:rsidR="0035143E" w:rsidRPr="00AE480F" w:rsidRDefault="00A97539" w:rsidP="0035143E">
      <w:pPr>
        <w:ind w:firstLine="708"/>
        <w:rPr>
          <w:rFonts w:ascii="Calibri" w:eastAsia="Times New Roman" w:hAnsi="Calibri"/>
          <w:highlight w:val="cyan"/>
        </w:rPr>
      </w:pPr>
      <w:r>
        <w:rPr>
          <w:rFonts w:ascii="Calibri" w:eastAsia="Times New Roman" w:hAnsi="Calibri"/>
          <w:noProof/>
          <w:lang w:eastAsia="fr-FR"/>
        </w:rPr>
        <w:pict>
          <v:shape id="_x0000_s1030" type="#_x0000_t32" style="position:absolute;left:0;text-align:left;margin-left:314.65pt;margin-top:11.3pt;width:106.5pt;height:44.25pt;flip:x;z-index:251660288" o:connectortype="straight" strokecolor="red">
            <v:stroke endarrow="block"/>
          </v:shape>
        </w:pict>
      </w:r>
      <w:r w:rsidR="0035143E" w:rsidRPr="00AE480F">
        <w:rPr>
          <w:rFonts w:ascii="Calibri" w:eastAsia="Times New Roman" w:hAnsi="Calibri"/>
          <w:highlight w:val="cyan"/>
        </w:rPr>
        <w:t>III - 3.  Toxi-infections à Clostridium perfringens</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III - 4 . Intoxination botulinique</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III - 5. Autres maladies liées à la consommation d’aliments</w:t>
      </w:r>
    </w:p>
    <w:p w:rsidR="0035143E" w:rsidRPr="00AE480F" w:rsidRDefault="0035143E" w:rsidP="0035143E">
      <w:pPr>
        <w:ind w:firstLine="708"/>
        <w:rPr>
          <w:rFonts w:ascii="Calibri" w:eastAsia="Times New Roman" w:hAnsi="Calibri"/>
          <w:i/>
          <w:iCs/>
          <w:highlight w:val="cyan"/>
        </w:rPr>
      </w:pPr>
      <w:r w:rsidRPr="00AE480F">
        <w:rPr>
          <w:rFonts w:ascii="Calibri" w:eastAsia="Times New Roman" w:hAnsi="Calibri"/>
          <w:highlight w:val="cyan"/>
        </w:rPr>
        <w:t xml:space="preserve">III - 5 - 1. </w:t>
      </w:r>
      <w:r w:rsidRPr="00AE480F">
        <w:rPr>
          <w:rFonts w:ascii="Calibri" w:eastAsia="Times New Roman" w:hAnsi="Calibri"/>
          <w:i/>
          <w:iCs/>
          <w:highlight w:val="cyan"/>
        </w:rPr>
        <w:t>Bacillus cereus</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 xml:space="preserve">III - 5 - 2. </w:t>
      </w:r>
      <w:r w:rsidRPr="00AE480F">
        <w:rPr>
          <w:rFonts w:ascii="Calibri" w:eastAsia="Times New Roman" w:hAnsi="Calibri"/>
          <w:i/>
          <w:iCs/>
          <w:highlight w:val="cyan"/>
        </w:rPr>
        <w:t>Vibrio  cholerae</w:t>
      </w:r>
      <w:r w:rsidRPr="00AE480F">
        <w:rPr>
          <w:rFonts w:ascii="Calibri" w:eastAsia="Times New Roman" w:hAnsi="Calibri"/>
          <w:highlight w:val="cyan"/>
        </w:rPr>
        <w:t xml:space="preserve">  et V. parahaemolyticus</w:t>
      </w:r>
    </w:p>
    <w:p w:rsidR="0035143E" w:rsidRPr="00AE480F" w:rsidRDefault="0035143E" w:rsidP="0035143E">
      <w:pPr>
        <w:ind w:firstLine="708"/>
        <w:rPr>
          <w:rFonts w:ascii="Calibri" w:eastAsia="Times New Roman" w:hAnsi="Calibri"/>
          <w:i/>
          <w:iCs/>
          <w:highlight w:val="cyan"/>
          <w:lang w:val="en-US"/>
        </w:rPr>
      </w:pPr>
      <w:r w:rsidRPr="00AE480F">
        <w:rPr>
          <w:rFonts w:ascii="Calibri" w:eastAsia="Times New Roman" w:hAnsi="Calibri"/>
          <w:highlight w:val="cyan"/>
          <w:lang w:val="en-US"/>
        </w:rPr>
        <w:t xml:space="preserve">III - 5 - 3. </w:t>
      </w:r>
      <w:r w:rsidRPr="00AE480F">
        <w:rPr>
          <w:rFonts w:ascii="Calibri" w:eastAsia="Times New Roman" w:hAnsi="Calibri"/>
          <w:i/>
          <w:iCs/>
          <w:highlight w:val="cyan"/>
          <w:lang w:val="en-US"/>
        </w:rPr>
        <w:t>Listeria monocytogenes</w:t>
      </w:r>
    </w:p>
    <w:p w:rsidR="0035143E" w:rsidRPr="00AE480F" w:rsidRDefault="0035143E" w:rsidP="0035143E">
      <w:pPr>
        <w:ind w:firstLine="708"/>
        <w:rPr>
          <w:rFonts w:ascii="Calibri" w:eastAsia="Times New Roman" w:hAnsi="Calibri"/>
          <w:highlight w:val="cyan"/>
          <w:lang w:val="en-US"/>
        </w:rPr>
      </w:pPr>
      <w:r w:rsidRPr="00AE480F">
        <w:rPr>
          <w:rFonts w:ascii="Calibri" w:eastAsia="Times New Roman" w:hAnsi="Calibri"/>
          <w:highlight w:val="cyan"/>
          <w:lang w:val="en-US"/>
        </w:rPr>
        <w:t xml:space="preserve">III - 5 - 4. </w:t>
      </w:r>
      <w:r w:rsidRPr="00AE480F">
        <w:rPr>
          <w:rFonts w:ascii="Calibri" w:eastAsia="Times New Roman" w:hAnsi="Calibri"/>
          <w:i/>
          <w:iCs/>
          <w:highlight w:val="cyan"/>
          <w:lang w:val="en-US"/>
        </w:rPr>
        <w:t>Escherichia coli</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 xml:space="preserve">III - 5 - 5. </w:t>
      </w:r>
      <w:r w:rsidRPr="00AE480F">
        <w:rPr>
          <w:rFonts w:ascii="Calibri" w:eastAsia="Times New Roman" w:hAnsi="Calibri"/>
          <w:i/>
          <w:iCs/>
          <w:highlight w:val="cyan"/>
        </w:rPr>
        <w:t>Yersinia  enterocolytica</w:t>
      </w:r>
    </w:p>
    <w:p w:rsidR="0035143E" w:rsidRPr="00AE480F" w:rsidRDefault="0035143E" w:rsidP="0035143E">
      <w:pPr>
        <w:ind w:firstLine="708"/>
        <w:rPr>
          <w:rFonts w:ascii="Calibri" w:eastAsia="Times New Roman" w:hAnsi="Calibri"/>
          <w:highlight w:val="cyan"/>
        </w:rPr>
      </w:pPr>
      <w:r w:rsidRPr="00AE480F">
        <w:rPr>
          <w:rFonts w:ascii="Calibri" w:eastAsia="Times New Roman" w:hAnsi="Calibri"/>
          <w:highlight w:val="cyan"/>
        </w:rPr>
        <w:t xml:space="preserve">III - 5 - 6. </w:t>
      </w:r>
      <w:r w:rsidRPr="00AE480F">
        <w:rPr>
          <w:rFonts w:ascii="Calibri" w:eastAsia="Times New Roman" w:hAnsi="Calibri"/>
          <w:i/>
          <w:iCs/>
          <w:highlight w:val="cyan"/>
        </w:rPr>
        <w:t>Campylobacter jejuni</w:t>
      </w:r>
      <w:r w:rsidRPr="00AE480F">
        <w:rPr>
          <w:rFonts w:ascii="Calibri" w:eastAsia="Times New Roman" w:hAnsi="Calibri"/>
          <w:highlight w:val="cyan"/>
        </w:rPr>
        <w:t xml:space="preserve">  (ou Vibrio fetus)</w:t>
      </w:r>
    </w:p>
    <w:p w:rsidR="0035143E" w:rsidRPr="005526B6" w:rsidRDefault="0035143E" w:rsidP="0035143E">
      <w:pPr>
        <w:ind w:firstLine="708"/>
        <w:rPr>
          <w:rFonts w:ascii="Calibri" w:eastAsia="Times New Roman" w:hAnsi="Calibri"/>
        </w:rPr>
      </w:pPr>
      <w:r w:rsidRPr="00AE480F">
        <w:rPr>
          <w:rFonts w:ascii="Calibri" w:eastAsia="Times New Roman" w:hAnsi="Calibri"/>
          <w:highlight w:val="cyan"/>
        </w:rPr>
        <w:t xml:space="preserve">III - 5 - 7. </w:t>
      </w:r>
      <w:r w:rsidRPr="00AE480F">
        <w:rPr>
          <w:rFonts w:ascii="Calibri" w:eastAsia="Times New Roman" w:hAnsi="Calibri"/>
          <w:i/>
          <w:iCs/>
          <w:highlight w:val="cyan"/>
        </w:rPr>
        <w:t>Shigella dysenteriæ , S. sonnei , S. flexneri , S. boydii</w:t>
      </w:r>
    </w:p>
    <w:p w:rsidR="0035143E" w:rsidRPr="0035143E" w:rsidRDefault="0035143E" w:rsidP="0035143E">
      <w:pPr>
        <w:rPr>
          <w:rFonts w:ascii="Calibri" w:eastAsia="Times New Roman" w:hAnsi="Calibri"/>
          <w:b/>
          <w:bCs/>
          <w:highlight w:val="yellow"/>
        </w:rPr>
      </w:pPr>
      <w:r w:rsidRPr="0035143E">
        <w:rPr>
          <w:rFonts w:ascii="Calibri" w:eastAsia="Times New Roman" w:hAnsi="Calibri"/>
          <w:b/>
          <w:bCs/>
          <w:highlight w:val="yellow"/>
        </w:rPr>
        <w:t>IV . Les Mycotoxines</w:t>
      </w:r>
    </w:p>
    <w:p w:rsidR="0035143E" w:rsidRPr="0035143E" w:rsidRDefault="0035143E" w:rsidP="0035143E">
      <w:pPr>
        <w:rPr>
          <w:rFonts w:ascii="Calibri" w:eastAsia="Times New Roman" w:hAnsi="Calibri"/>
          <w:highlight w:val="yellow"/>
        </w:rPr>
      </w:pPr>
      <w:r w:rsidRPr="0035143E">
        <w:rPr>
          <w:rFonts w:ascii="Calibri" w:eastAsia="Times New Roman" w:hAnsi="Calibri"/>
          <w:b/>
          <w:bCs/>
          <w:highlight w:val="yellow"/>
        </w:rPr>
        <w:t>V.Principales Maladies Parasitaires Transmises Par Les Aliments</w:t>
      </w:r>
    </w:p>
    <w:p w:rsidR="0035143E" w:rsidRPr="0035143E" w:rsidRDefault="0035143E" w:rsidP="0035143E">
      <w:pPr>
        <w:ind w:firstLine="708"/>
        <w:rPr>
          <w:rFonts w:ascii="Calibri" w:eastAsia="Times New Roman" w:hAnsi="Calibri"/>
          <w:highlight w:val="yellow"/>
        </w:rPr>
      </w:pPr>
      <w:r w:rsidRPr="0035143E">
        <w:rPr>
          <w:rFonts w:ascii="Calibri" w:eastAsia="Times New Roman" w:hAnsi="Calibri"/>
          <w:highlight w:val="yellow"/>
        </w:rPr>
        <w:t>V - 1 Protozoaires (unicellulaires)</w:t>
      </w:r>
    </w:p>
    <w:p w:rsidR="0035143E" w:rsidRPr="0035143E" w:rsidRDefault="0035143E" w:rsidP="0035143E">
      <w:pPr>
        <w:ind w:firstLine="708"/>
        <w:rPr>
          <w:rFonts w:ascii="Calibri" w:eastAsia="Times New Roman" w:hAnsi="Calibri"/>
          <w:highlight w:val="yellow"/>
        </w:rPr>
      </w:pPr>
      <w:r w:rsidRPr="0035143E">
        <w:rPr>
          <w:rFonts w:ascii="Calibri" w:eastAsia="Times New Roman" w:hAnsi="Calibri"/>
          <w:highlight w:val="yellow"/>
        </w:rPr>
        <w:t>V - 2 – Helminthes</w:t>
      </w:r>
    </w:p>
    <w:p w:rsidR="0035143E" w:rsidRPr="0035143E" w:rsidRDefault="0035143E" w:rsidP="0035143E">
      <w:pPr>
        <w:rPr>
          <w:rFonts w:ascii="Calibri" w:eastAsia="Times New Roman" w:hAnsi="Calibri"/>
          <w:b/>
          <w:bCs/>
          <w:highlight w:val="yellow"/>
        </w:rPr>
      </w:pPr>
      <w:r w:rsidRPr="0035143E">
        <w:rPr>
          <w:rFonts w:ascii="Calibri" w:eastAsia="Times New Roman" w:hAnsi="Calibri"/>
          <w:b/>
          <w:bCs/>
          <w:highlight w:val="yellow"/>
        </w:rPr>
        <w:t>VI. LES virus en agroalimentaire</w:t>
      </w:r>
    </w:p>
    <w:p w:rsidR="0035143E" w:rsidRPr="0035143E" w:rsidRDefault="0035143E" w:rsidP="0035143E">
      <w:pPr>
        <w:ind w:firstLine="708"/>
        <w:rPr>
          <w:rFonts w:ascii="Calibri" w:eastAsia="Times New Roman" w:hAnsi="Calibri"/>
          <w:highlight w:val="yellow"/>
        </w:rPr>
      </w:pPr>
      <w:r w:rsidRPr="0035143E">
        <w:rPr>
          <w:rFonts w:ascii="Calibri" w:eastAsia="Times New Roman" w:hAnsi="Calibri"/>
          <w:highlight w:val="yellow"/>
        </w:rPr>
        <w:t>VI - 1. Généralités les virus en industrie agroalimentaire</w:t>
      </w:r>
    </w:p>
    <w:p w:rsidR="0035143E" w:rsidRPr="005526B6" w:rsidRDefault="0035143E" w:rsidP="0035143E">
      <w:pPr>
        <w:ind w:firstLine="708"/>
        <w:rPr>
          <w:rFonts w:ascii="Calibri" w:eastAsia="Times New Roman" w:hAnsi="Calibri"/>
        </w:rPr>
      </w:pPr>
      <w:r w:rsidRPr="0035143E">
        <w:rPr>
          <w:rFonts w:ascii="Calibri" w:eastAsia="Times New Roman" w:hAnsi="Calibri"/>
          <w:highlight w:val="yellow"/>
        </w:rPr>
        <w:t>VI - 2 . Recherche des particules virales dans nos aliments</w:t>
      </w:r>
    </w:p>
    <w:p w:rsidR="0035143E" w:rsidRPr="005526B6" w:rsidRDefault="0035143E" w:rsidP="0035143E">
      <w:pPr>
        <w:rPr>
          <w:rFonts w:ascii="Calibri" w:eastAsia="Times New Roman" w:hAnsi="Calibri"/>
        </w:rPr>
      </w:pPr>
    </w:p>
    <w:p w:rsidR="0035143E" w:rsidRPr="005526B6" w:rsidRDefault="0035143E" w:rsidP="0035143E">
      <w:pPr>
        <w:spacing w:line="276" w:lineRule="auto"/>
        <w:jc w:val="both"/>
        <w:rPr>
          <w:rFonts w:ascii="Calibri" w:hAnsi="Calibri" w:cs="Calibri"/>
          <w:bCs/>
        </w:rPr>
      </w:pPr>
      <w:r w:rsidRPr="005526B6">
        <w:rPr>
          <w:rFonts w:ascii="Calibri" w:hAnsi="Calibri" w:cs="Calibri"/>
          <w:b/>
        </w:rPr>
        <w:lastRenderedPageBreak/>
        <w:t>Mode d’évaluation :</w:t>
      </w:r>
      <w:r w:rsidRPr="005526B6">
        <w:rPr>
          <w:rFonts w:ascii="Calibri" w:hAnsi="Calibri" w:cs="Calibri"/>
          <w:bCs/>
        </w:rPr>
        <w:t xml:space="preserve"> (type d’évaluation et pondération) : </w:t>
      </w:r>
    </w:p>
    <w:p w:rsidR="0035143E" w:rsidRPr="005526B6" w:rsidRDefault="0035143E" w:rsidP="0035143E">
      <w:pPr>
        <w:spacing w:line="276" w:lineRule="auto"/>
        <w:jc w:val="both"/>
        <w:rPr>
          <w:rFonts w:ascii="Calibri" w:hAnsi="Calibri" w:cs="Calibri"/>
          <w:bCs/>
        </w:rPr>
      </w:pPr>
      <w:r w:rsidRPr="005526B6">
        <w:rPr>
          <w:rFonts w:ascii="Calibri" w:hAnsi="Calibri" w:cs="Calibri"/>
          <w:bCs/>
        </w:rPr>
        <w:t>Contrôle continu et Examen semestriel</w:t>
      </w:r>
    </w:p>
    <w:p w:rsidR="0035143E" w:rsidRPr="005526B6" w:rsidRDefault="0035143E" w:rsidP="0035143E">
      <w:pPr>
        <w:spacing w:line="276" w:lineRule="auto"/>
        <w:jc w:val="both"/>
        <w:rPr>
          <w:rFonts w:ascii="Calibri" w:hAnsi="Calibri" w:cs="Calibri"/>
          <w:b/>
        </w:rPr>
      </w:pPr>
    </w:p>
    <w:p w:rsidR="0035143E" w:rsidRPr="005526B6" w:rsidRDefault="0035143E" w:rsidP="0035143E">
      <w:pPr>
        <w:spacing w:line="276" w:lineRule="auto"/>
        <w:jc w:val="both"/>
        <w:rPr>
          <w:rFonts w:ascii="Calibri" w:hAnsi="Calibri" w:cs="Calibri"/>
          <w:b/>
          <w:sz w:val="32"/>
          <w:szCs w:val="32"/>
        </w:rPr>
      </w:pPr>
      <w:r w:rsidRPr="005526B6">
        <w:rPr>
          <w:rFonts w:ascii="Calibri" w:hAnsi="Calibri" w:cs="Calibri"/>
          <w:b/>
        </w:rPr>
        <w:t>Références bibliographiques</w:t>
      </w:r>
    </w:p>
    <w:p w:rsidR="0035143E" w:rsidRPr="005526B6" w:rsidRDefault="0035143E" w:rsidP="0035143E">
      <w:pPr>
        <w:numPr>
          <w:ilvl w:val="0"/>
          <w:numId w:val="1"/>
        </w:numPr>
        <w:rPr>
          <w:rFonts w:ascii="Calibri" w:hAnsi="Calibri" w:cs="Calibri"/>
          <w:bCs/>
        </w:rPr>
      </w:pPr>
      <w:r w:rsidRPr="005526B6">
        <w:rPr>
          <w:rFonts w:ascii="Calibri" w:hAnsi="Calibri" w:cs="Calibri"/>
          <w:bCs/>
        </w:rPr>
        <w:t xml:space="preserve">Professeur Jean-Louis CUQ.2007. </w:t>
      </w:r>
      <w:r w:rsidRPr="005526B6">
        <w:rPr>
          <w:rFonts w:ascii="Calibri" w:hAnsi="Calibri" w:cs="Calibri"/>
          <w:b/>
        </w:rPr>
        <w:t>MICROBIOLOGIE ALIMENTAIRE</w:t>
      </w:r>
      <w:r w:rsidRPr="005526B6">
        <w:rPr>
          <w:rFonts w:ascii="Calibri" w:hAnsi="Calibri" w:cs="Calibri"/>
          <w:bCs/>
        </w:rPr>
        <w:t>. Université Montpellier II Sciences et Techniques du Languedoc.</w:t>
      </w:r>
    </w:p>
    <w:p w:rsidR="0035143E" w:rsidRPr="005526B6" w:rsidRDefault="0035143E" w:rsidP="0035143E">
      <w:pPr>
        <w:numPr>
          <w:ilvl w:val="0"/>
          <w:numId w:val="1"/>
        </w:numPr>
        <w:rPr>
          <w:rFonts w:ascii="Calibri" w:hAnsi="Calibri" w:cs="Calibri"/>
          <w:bCs/>
        </w:rPr>
      </w:pPr>
      <w:r w:rsidRPr="005526B6">
        <w:rPr>
          <w:rFonts w:ascii="Calibri" w:hAnsi="Calibri" w:cs="Calibri"/>
          <w:bCs/>
        </w:rPr>
        <w:t xml:space="preserve">les relations aliments – nutrition – intoxications alimentaires. </w:t>
      </w:r>
    </w:p>
    <w:p w:rsidR="0035143E" w:rsidRPr="005526B6" w:rsidRDefault="0035143E" w:rsidP="0035143E">
      <w:pPr>
        <w:ind w:left="720"/>
        <w:rPr>
          <w:rFonts w:ascii="Calibri" w:hAnsi="Calibri" w:cs="Calibri"/>
          <w:b/>
        </w:rPr>
      </w:pPr>
      <w:r w:rsidRPr="005526B6">
        <w:rPr>
          <w:rFonts w:ascii="Calibri" w:hAnsi="Calibri" w:cs="Calibri"/>
          <w:b/>
        </w:rPr>
        <w:t xml:space="preserve">http://www.chu-rouen.fr/ssf/alimentfr.html </w:t>
      </w:r>
    </w:p>
    <w:p w:rsidR="0035143E" w:rsidRPr="005526B6" w:rsidRDefault="0035143E" w:rsidP="0035143E">
      <w:pPr>
        <w:numPr>
          <w:ilvl w:val="0"/>
          <w:numId w:val="1"/>
        </w:numPr>
        <w:rPr>
          <w:rFonts w:ascii="Calibri" w:hAnsi="Calibri" w:cs="Calibri"/>
          <w:bCs/>
        </w:rPr>
      </w:pPr>
      <w:r w:rsidRPr="005526B6">
        <w:rPr>
          <w:rFonts w:ascii="Calibri" w:hAnsi="Calibri" w:cs="Calibri"/>
          <w:bCs/>
        </w:rPr>
        <w:t xml:space="preserve">- la sécurité alimentaire en Europe </w:t>
      </w:r>
    </w:p>
    <w:p w:rsidR="0035143E" w:rsidRPr="005526B6" w:rsidRDefault="0035143E" w:rsidP="0035143E">
      <w:pPr>
        <w:rPr>
          <w:rFonts w:ascii="Calibri" w:hAnsi="Calibri" w:cs="Calibri"/>
          <w:b/>
        </w:rPr>
      </w:pPr>
      <w:r w:rsidRPr="005526B6">
        <w:rPr>
          <w:rFonts w:ascii="Calibri" w:hAnsi="Calibri" w:cs="Calibri"/>
          <w:b/>
        </w:rPr>
        <w:t xml:space="preserve">http://europa.eu.int/comm/food/fs/intro/index_en.html </w:t>
      </w:r>
    </w:p>
    <w:p w:rsidR="0035143E" w:rsidRPr="005526B6" w:rsidRDefault="0035143E" w:rsidP="0035143E">
      <w:pPr>
        <w:numPr>
          <w:ilvl w:val="0"/>
          <w:numId w:val="1"/>
        </w:numPr>
        <w:rPr>
          <w:rFonts w:ascii="Calibri" w:hAnsi="Calibri" w:cs="Calibri"/>
          <w:bCs/>
        </w:rPr>
      </w:pPr>
      <w:r w:rsidRPr="005526B6">
        <w:rPr>
          <w:rFonts w:ascii="Calibri" w:hAnsi="Calibri" w:cs="Calibri"/>
          <w:bCs/>
        </w:rPr>
        <w:t xml:space="preserve">Le Centre Européen de Prévention des Risques (CEPR) </w:t>
      </w:r>
    </w:p>
    <w:p w:rsidR="0035143E" w:rsidRPr="005526B6" w:rsidRDefault="0035143E" w:rsidP="0035143E">
      <w:pPr>
        <w:ind w:left="720"/>
        <w:rPr>
          <w:rFonts w:ascii="Calibri" w:hAnsi="Calibri" w:cs="Calibri"/>
          <w:b/>
        </w:rPr>
      </w:pPr>
      <w:r w:rsidRPr="005526B6">
        <w:rPr>
          <w:rFonts w:ascii="Calibri" w:hAnsi="Calibri" w:cs="Calibri"/>
          <w:b/>
        </w:rPr>
        <w:t>http://www.cepr.tm.fr/fr/observatoire/index.asp</w:t>
      </w:r>
    </w:p>
    <w:p w:rsidR="0035143E" w:rsidRPr="005526B6" w:rsidRDefault="0035143E" w:rsidP="0035143E">
      <w:pPr>
        <w:rPr>
          <w:rFonts w:ascii="Calibri" w:hAnsi="Calibri" w:cs="Calibri"/>
          <w:bCs/>
        </w:rPr>
      </w:pPr>
    </w:p>
    <w:p w:rsidR="0035143E" w:rsidRPr="005526B6" w:rsidRDefault="0035143E" w:rsidP="0035143E">
      <w:pPr>
        <w:spacing w:line="360" w:lineRule="auto"/>
        <w:jc w:val="both"/>
        <w:rPr>
          <w:rFonts w:ascii="Calibri" w:hAnsi="Calibri" w:cs="Calibri"/>
          <w:b/>
        </w:rPr>
      </w:pPr>
    </w:p>
    <w:p w:rsidR="0035143E" w:rsidRPr="005526B6" w:rsidRDefault="0035143E" w:rsidP="0035143E">
      <w:pPr>
        <w:spacing w:line="360" w:lineRule="auto"/>
        <w:jc w:val="both"/>
        <w:rPr>
          <w:rFonts w:ascii="Calibri" w:hAnsi="Calibri" w:cs="Calibri"/>
          <w:b/>
        </w:rPr>
      </w:pPr>
    </w:p>
    <w:p w:rsidR="0035143E" w:rsidRPr="005526B6" w:rsidRDefault="0035143E" w:rsidP="0035143E">
      <w:pPr>
        <w:rPr>
          <w:rFonts w:ascii="Calibri" w:hAnsi="Calibri" w:cs="Calibri"/>
          <w:b/>
          <w:sz w:val="32"/>
          <w:szCs w:val="32"/>
        </w:rPr>
      </w:pPr>
    </w:p>
    <w:p w:rsidR="0035143E" w:rsidRDefault="0035143E"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35143E">
      <w:pPr>
        <w:rPr>
          <w:rFonts w:ascii="Calibri" w:hAnsi="Calibri" w:cs="Calibri"/>
          <w:b/>
          <w:sz w:val="32"/>
          <w:szCs w:val="32"/>
        </w:rPr>
      </w:pPr>
    </w:p>
    <w:p w:rsidR="0092061B" w:rsidRDefault="0092061B" w:rsidP="0092061B">
      <w:pPr>
        <w:jc w:val="both"/>
        <w:rPr>
          <w:rFonts w:asciiTheme="majorBidi" w:eastAsia="Times New Roman" w:hAnsiTheme="majorBidi" w:cstheme="majorBidi"/>
          <w:b/>
          <w:bCs/>
          <w:color w:val="0070C0"/>
        </w:rPr>
      </w:pPr>
    </w:p>
    <w:p w:rsidR="0092061B" w:rsidRDefault="006E0A1E" w:rsidP="0092061B">
      <w:pPr>
        <w:jc w:val="center"/>
        <w:rPr>
          <w:b/>
          <w:bCs/>
          <w:color w:val="FF0000"/>
        </w:rPr>
      </w:pPr>
      <w:r>
        <w:rPr>
          <w:b/>
          <w:bCs/>
          <w:color w:val="FF0000"/>
        </w:rPr>
        <w:lastRenderedPageBreak/>
        <w:t xml:space="preserve">II.4. </w:t>
      </w:r>
      <w:r w:rsidR="0092061B" w:rsidRPr="0092061B">
        <w:rPr>
          <w:b/>
          <w:bCs/>
          <w:color w:val="FF0000"/>
        </w:rPr>
        <w:t>La Microbiologie prévisionnelle</w:t>
      </w:r>
    </w:p>
    <w:p w:rsidR="006E0A1E" w:rsidRPr="006E0A1E" w:rsidRDefault="006E0A1E" w:rsidP="006E0A1E">
      <w:pPr>
        <w:autoSpaceDE w:val="0"/>
        <w:autoSpaceDN w:val="0"/>
        <w:adjustRightInd w:val="0"/>
        <w:jc w:val="both"/>
        <w:rPr>
          <w:rFonts w:asciiTheme="majorBidi" w:hAnsiTheme="majorBidi" w:cstheme="majorBidi"/>
          <w:b/>
          <w:bCs/>
          <w:color w:val="0070C0"/>
        </w:rPr>
      </w:pPr>
      <w:r w:rsidRPr="006E0A1E">
        <w:rPr>
          <w:rFonts w:asciiTheme="majorBidi" w:hAnsiTheme="majorBidi" w:cstheme="majorBidi"/>
          <w:b/>
          <w:bCs/>
          <w:color w:val="0070C0"/>
        </w:rPr>
        <w:t>II.4.1. Définitions</w:t>
      </w:r>
    </w:p>
    <w:p w:rsidR="006E0A1E" w:rsidRPr="0092061B" w:rsidRDefault="006E0A1E" w:rsidP="0092061B">
      <w:pPr>
        <w:jc w:val="center"/>
        <w:rPr>
          <w:b/>
          <w:bCs/>
          <w:color w:val="FF0000"/>
        </w:rPr>
      </w:pPr>
    </w:p>
    <w:p w:rsidR="006E0A1E" w:rsidRDefault="0092061B" w:rsidP="006E0A1E">
      <w:pPr>
        <w:pStyle w:val="a6"/>
        <w:numPr>
          <w:ilvl w:val="0"/>
          <w:numId w:val="28"/>
        </w:numPr>
        <w:jc w:val="both"/>
        <w:rPr>
          <w:rFonts w:asciiTheme="majorBidi" w:hAnsiTheme="majorBidi" w:cstheme="majorBidi"/>
        </w:rPr>
      </w:pPr>
      <w:r w:rsidRPr="006E0A1E">
        <w:rPr>
          <w:rFonts w:asciiTheme="majorBidi" w:hAnsiTheme="majorBidi" w:cstheme="majorBidi"/>
        </w:rPr>
        <w:t xml:space="preserve">La microbiologie prévisionnelle est une nouvelle discipline qui vise à prévoir le développement des micro-organismes dans les aliments à l'aide de modèles mathématiques. </w:t>
      </w:r>
    </w:p>
    <w:p w:rsidR="006E0A1E" w:rsidRDefault="0092061B" w:rsidP="006E0A1E">
      <w:pPr>
        <w:pStyle w:val="a6"/>
        <w:jc w:val="both"/>
        <w:rPr>
          <w:rFonts w:asciiTheme="majorBidi" w:hAnsiTheme="majorBidi" w:cstheme="majorBidi"/>
        </w:rPr>
      </w:pPr>
      <w:r w:rsidRPr="006E0A1E">
        <w:rPr>
          <w:rFonts w:asciiTheme="majorBidi" w:hAnsiTheme="majorBidi" w:cstheme="majorBidi"/>
        </w:rPr>
        <w:t>Les modèles primaires décrivent l'évolution d'une population microbienne en fonction du temps et les modèles secondaires décrivent l'effet des facteurs environnementaux (température, pH, ...) sur les paramètres des modèles primaires.</w:t>
      </w:r>
    </w:p>
    <w:p w:rsidR="0092061B" w:rsidRPr="006E0A1E" w:rsidRDefault="0092061B" w:rsidP="006E0A1E">
      <w:pPr>
        <w:pStyle w:val="a6"/>
        <w:jc w:val="both"/>
        <w:rPr>
          <w:rFonts w:asciiTheme="majorBidi" w:hAnsiTheme="majorBidi" w:cstheme="majorBidi"/>
        </w:rPr>
      </w:pPr>
      <w:r w:rsidRPr="006E0A1E">
        <w:rPr>
          <w:rFonts w:asciiTheme="majorBidi" w:hAnsiTheme="majorBidi" w:cstheme="majorBidi"/>
        </w:rPr>
        <w:t xml:space="preserve"> Différentes approches peuvent être utilisées pour construire ces modèles. Chacune présente des avantages et des inconvénients qu'il est important de prendre en compte pour assurer une utilisation optimale des modèles. Cette discipline en pleine expansion offre déjà des outils intéressants complémentaires aux méthodes traditionnelles pour le contrôle de la sécurité alimentaire.</w:t>
      </w:r>
    </w:p>
    <w:p w:rsidR="006E0A1E" w:rsidRDefault="006E0A1E" w:rsidP="0092061B">
      <w:pPr>
        <w:autoSpaceDE w:val="0"/>
        <w:autoSpaceDN w:val="0"/>
        <w:adjustRightInd w:val="0"/>
        <w:jc w:val="both"/>
        <w:rPr>
          <w:rFonts w:asciiTheme="majorBidi" w:hAnsiTheme="majorBidi" w:cstheme="majorBidi"/>
          <w:color w:val="009B9B"/>
        </w:rPr>
      </w:pPr>
    </w:p>
    <w:p w:rsidR="0092061B" w:rsidRPr="006E0A1E" w:rsidRDefault="0092061B" w:rsidP="006E0A1E">
      <w:pPr>
        <w:pStyle w:val="a6"/>
        <w:numPr>
          <w:ilvl w:val="0"/>
          <w:numId w:val="28"/>
        </w:numPr>
        <w:autoSpaceDE w:val="0"/>
        <w:autoSpaceDN w:val="0"/>
        <w:adjustRightInd w:val="0"/>
        <w:jc w:val="both"/>
        <w:rPr>
          <w:rFonts w:asciiTheme="majorBidi" w:hAnsiTheme="majorBidi" w:cstheme="majorBidi"/>
        </w:rPr>
      </w:pPr>
      <w:r w:rsidRPr="006E0A1E">
        <w:rPr>
          <w:rFonts w:asciiTheme="majorBidi" w:hAnsiTheme="majorBidi" w:cstheme="majorBidi"/>
          <w:color w:val="000000"/>
        </w:rPr>
        <w:t>La microbiologie prévisionnelle ou quantitative (predictive microbiology) a été définie par Roberts et Jarvis en 1983</w:t>
      </w:r>
      <w:r w:rsidR="006E0A1E">
        <w:rPr>
          <w:rFonts w:asciiTheme="majorBidi" w:hAnsiTheme="majorBidi" w:cstheme="majorBidi"/>
          <w:color w:val="000000"/>
        </w:rPr>
        <w:t xml:space="preserve">. </w:t>
      </w:r>
      <w:r w:rsidRPr="006E0A1E">
        <w:rPr>
          <w:rFonts w:asciiTheme="majorBidi" w:hAnsiTheme="majorBidi" w:cstheme="majorBidi"/>
          <w:color w:val="000000"/>
        </w:rPr>
        <w:t xml:space="preserve">C’est la discipline qui s’intéresse au </w:t>
      </w:r>
      <w:r w:rsidRPr="006E0A1E">
        <w:rPr>
          <w:rFonts w:asciiTheme="majorBidi" w:hAnsiTheme="majorBidi" w:cstheme="majorBidi"/>
        </w:rPr>
        <w:t>développement de modèles mathématiques de prédiction de l’effet des facteurs environnementaux au sein des produits alimentaires sur :</w:t>
      </w:r>
    </w:p>
    <w:p w:rsidR="0092061B" w:rsidRPr="00970422" w:rsidRDefault="0092061B" w:rsidP="0092061B">
      <w:pPr>
        <w:autoSpaceDE w:val="0"/>
        <w:autoSpaceDN w:val="0"/>
        <w:adjustRightInd w:val="0"/>
        <w:jc w:val="both"/>
        <w:rPr>
          <w:rFonts w:asciiTheme="majorBidi" w:hAnsiTheme="majorBidi" w:cstheme="majorBidi"/>
          <w:color w:val="009B9B"/>
        </w:rPr>
      </w:pPr>
    </w:p>
    <w:p w:rsidR="0092061B" w:rsidRPr="00970422" w:rsidRDefault="0092061B" w:rsidP="0092061B">
      <w:pPr>
        <w:autoSpaceDE w:val="0"/>
        <w:autoSpaceDN w:val="0"/>
        <w:adjustRightInd w:val="0"/>
        <w:jc w:val="both"/>
        <w:rPr>
          <w:rFonts w:asciiTheme="majorBidi" w:hAnsiTheme="majorBidi" w:cstheme="majorBidi"/>
          <w:color w:val="000000"/>
        </w:rPr>
      </w:pPr>
      <w:r w:rsidRPr="00970422">
        <w:rPr>
          <w:rFonts w:asciiTheme="majorBidi" w:hAnsiTheme="majorBidi" w:cstheme="majorBidi"/>
          <w:color w:val="009B9B"/>
        </w:rPr>
        <w:t xml:space="preserve">• </w:t>
      </w:r>
      <w:r w:rsidRPr="00970422">
        <w:rPr>
          <w:rFonts w:asciiTheme="majorBidi" w:hAnsiTheme="majorBidi" w:cstheme="majorBidi"/>
          <w:color w:val="000000"/>
        </w:rPr>
        <w:t>la croissance des micro-organismes</w:t>
      </w:r>
    </w:p>
    <w:p w:rsidR="0092061B" w:rsidRPr="00970422" w:rsidRDefault="0092061B" w:rsidP="0092061B">
      <w:pPr>
        <w:autoSpaceDE w:val="0"/>
        <w:autoSpaceDN w:val="0"/>
        <w:adjustRightInd w:val="0"/>
        <w:jc w:val="both"/>
        <w:rPr>
          <w:rFonts w:asciiTheme="majorBidi" w:hAnsiTheme="majorBidi" w:cstheme="majorBidi"/>
          <w:color w:val="000000"/>
        </w:rPr>
      </w:pPr>
      <w:r w:rsidRPr="00970422">
        <w:rPr>
          <w:rFonts w:asciiTheme="majorBidi" w:hAnsiTheme="majorBidi" w:cstheme="majorBidi"/>
          <w:color w:val="009B9B"/>
        </w:rPr>
        <w:t xml:space="preserve">• </w:t>
      </w:r>
      <w:r w:rsidRPr="00970422">
        <w:rPr>
          <w:rFonts w:asciiTheme="majorBidi" w:hAnsiTheme="majorBidi" w:cstheme="majorBidi"/>
          <w:color w:val="000000"/>
        </w:rPr>
        <w:t>la production de métabolites</w:t>
      </w:r>
    </w:p>
    <w:p w:rsidR="0092061B" w:rsidRPr="00970422" w:rsidRDefault="0092061B" w:rsidP="0092061B">
      <w:pPr>
        <w:autoSpaceDE w:val="0"/>
        <w:autoSpaceDN w:val="0"/>
        <w:adjustRightInd w:val="0"/>
        <w:jc w:val="both"/>
        <w:rPr>
          <w:rFonts w:asciiTheme="majorBidi" w:hAnsiTheme="majorBidi" w:cstheme="majorBidi"/>
          <w:color w:val="000000"/>
        </w:rPr>
      </w:pPr>
      <w:r w:rsidRPr="00970422">
        <w:rPr>
          <w:rFonts w:asciiTheme="majorBidi" w:hAnsiTheme="majorBidi" w:cstheme="majorBidi"/>
          <w:color w:val="009B9B"/>
        </w:rPr>
        <w:t xml:space="preserve">• </w:t>
      </w:r>
      <w:r w:rsidRPr="00970422">
        <w:rPr>
          <w:rFonts w:asciiTheme="majorBidi" w:hAnsiTheme="majorBidi" w:cstheme="majorBidi"/>
          <w:color w:val="000000"/>
        </w:rPr>
        <w:t>la survie des micro-organismes</w:t>
      </w:r>
    </w:p>
    <w:p w:rsidR="0092061B" w:rsidRPr="00970422" w:rsidRDefault="0092061B" w:rsidP="0092061B">
      <w:pPr>
        <w:autoSpaceDE w:val="0"/>
        <w:autoSpaceDN w:val="0"/>
        <w:adjustRightInd w:val="0"/>
        <w:jc w:val="both"/>
        <w:rPr>
          <w:rFonts w:asciiTheme="majorBidi" w:hAnsiTheme="majorBidi" w:cstheme="majorBidi"/>
          <w:color w:val="009B9B"/>
        </w:rPr>
      </w:pPr>
    </w:p>
    <w:p w:rsidR="006E0A1E" w:rsidRPr="006E0A1E" w:rsidRDefault="0092061B" w:rsidP="006E0A1E">
      <w:pPr>
        <w:autoSpaceDE w:val="0"/>
        <w:autoSpaceDN w:val="0"/>
        <w:adjustRightInd w:val="0"/>
        <w:rPr>
          <w:rFonts w:asciiTheme="majorBidi" w:hAnsiTheme="majorBidi" w:cstheme="majorBidi"/>
          <w:color w:val="0070C0"/>
        </w:rPr>
      </w:pPr>
      <w:r w:rsidRPr="006E0A1E">
        <w:rPr>
          <w:rFonts w:asciiTheme="majorBidi" w:hAnsiTheme="majorBidi" w:cstheme="majorBidi"/>
          <w:color w:val="0070C0"/>
        </w:rPr>
        <w:t xml:space="preserve">Prédire, </w:t>
      </w:r>
    </w:p>
    <w:p w:rsidR="006E0A1E" w:rsidRPr="006E0A1E" w:rsidRDefault="0092061B" w:rsidP="006E0A1E">
      <w:pPr>
        <w:pStyle w:val="a6"/>
        <w:numPr>
          <w:ilvl w:val="0"/>
          <w:numId w:val="29"/>
        </w:numPr>
        <w:autoSpaceDE w:val="0"/>
        <w:autoSpaceDN w:val="0"/>
        <w:adjustRightInd w:val="0"/>
        <w:rPr>
          <w:rFonts w:asciiTheme="majorBidi" w:hAnsiTheme="majorBidi" w:cstheme="majorBidi"/>
        </w:rPr>
      </w:pPr>
      <w:r w:rsidRPr="006E0A1E">
        <w:rPr>
          <w:rFonts w:asciiTheme="majorBidi" w:hAnsiTheme="majorBidi" w:cstheme="majorBidi"/>
        </w:rPr>
        <w:t>c’est estimer les risques</w:t>
      </w:r>
    </w:p>
    <w:p w:rsidR="006E0A1E" w:rsidRPr="006E0A1E" w:rsidRDefault="0092061B" w:rsidP="006E0A1E">
      <w:pPr>
        <w:pStyle w:val="a6"/>
        <w:numPr>
          <w:ilvl w:val="0"/>
          <w:numId w:val="29"/>
        </w:numPr>
        <w:autoSpaceDE w:val="0"/>
        <w:autoSpaceDN w:val="0"/>
        <w:adjustRightInd w:val="0"/>
        <w:rPr>
          <w:rFonts w:asciiTheme="majorBidi" w:hAnsiTheme="majorBidi" w:cstheme="majorBidi"/>
        </w:rPr>
      </w:pPr>
      <w:r w:rsidRPr="006E0A1E">
        <w:rPr>
          <w:rFonts w:asciiTheme="majorBidi" w:hAnsiTheme="majorBidi" w:cstheme="majorBidi"/>
        </w:rPr>
        <w:t>c’est anticiper sur les dangers</w:t>
      </w:r>
    </w:p>
    <w:p w:rsidR="0092061B" w:rsidRPr="006E0A1E" w:rsidRDefault="0092061B" w:rsidP="006E0A1E">
      <w:pPr>
        <w:pStyle w:val="a6"/>
        <w:numPr>
          <w:ilvl w:val="0"/>
          <w:numId w:val="29"/>
        </w:numPr>
        <w:autoSpaceDE w:val="0"/>
        <w:autoSpaceDN w:val="0"/>
        <w:adjustRightInd w:val="0"/>
        <w:rPr>
          <w:rFonts w:asciiTheme="majorBidi" w:hAnsiTheme="majorBidi" w:cstheme="majorBidi"/>
        </w:rPr>
      </w:pPr>
      <w:r w:rsidRPr="006E0A1E">
        <w:rPr>
          <w:rFonts w:asciiTheme="majorBidi" w:hAnsiTheme="majorBidi" w:cstheme="majorBidi"/>
        </w:rPr>
        <w:t>c’est assurer la qualité des aliments</w:t>
      </w:r>
    </w:p>
    <w:p w:rsidR="0092061B" w:rsidRPr="006E0A1E" w:rsidRDefault="0092061B" w:rsidP="006E0A1E">
      <w:pPr>
        <w:autoSpaceDE w:val="0"/>
        <w:autoSpaceDN w:val="0"/>
        <w:adjustRightInd w:val="0"/>
        <w:jc w:val="center"/>
        <w:rPr>
          <w:rFonts w:asciiTheme="majorBidi" w:hAnsiTheme="majorBidi" w:cstheme="majorBidi"/>
        </w:rPr>
      </w:pPr>
    </w:p>
    <w:p w:rsidR="0092061B" w:rsidRPr="006E0A1E" w:rsidRDefault="006E0A1E" w:rsidP="0092061B">
      <w:pPr>
        <w:autoSpaceDE w:val="0"/>
        <w:autoSpaceDN w:val="0"/>
        <w:adjustRightInd w:val="0"/>
        <w:rPr>
          <w:rFonts w:asciiTheme="majorBidi" w:hAnsiTheme="majorBidi" w:cstheme="majorBidi"/>
          <w:b/>
          <w:bCs/>
          <w:color w:val="0070C0"/>
        </w:rPr>
      </w:pPr>
      <w:r w:rsidRPr="006E0A1E">
        <w:rPr>
          <w:rFonts w:asciiTheme="majorBidi" w:hAnsiTheme="majorBidi" w:cstheme="majorBidi"/>
          <w:b/>
          <w:bCs/>
          <w:color w:val="0070C0"/>
        </w:rPr>
        <w:t xml:space="preserve">II.4.2. </w:t>
      </w:r>
      <w:r w:rsidR="0092061B" w:rsidRPr="006E0A1E">
        <w:rPr>
          <w:rFonts w:asciiTheme="majorBidi" w:hAnsiTheme="majorBidi" w:cstheme="majorBidi"/>
          <w:b/>
          <w:bCs/>
          <w:color w:val="0070C0"/>
        </w:rPr>
        <w:t>Principaux logiciels de microbiologie prévisionnelle</w:t>
      </w:r>
    </w:p>
    <w:p w:rsidR="0092061B" w:rsidRPr="00970422" w:rsidRDefault="0092061B" w:rsidP="0092061B">
      <w:pPr>
        <w:autoSpaceDE w:val="0"/>
        <w:autoSpaceDN w:val="0"/>
        <w:adjustRightInd w:val="0"/>
        <w:rPr>
          <w:rFonts w:asciiTheme="majorBidi" w:hAnsiTheme="majorBidi" w:cstheme="majorBidi"/>
          <w:color w:val="009B9B"/>
        </w:rPr>
      </w:pPr>
    </w:p>
    <w:p w:rsidR="0092061B" w:rsidRPr="007A2802" w:rsidRDefault="0092061B" w:rsidP="0092061B">
      <w:pPr>
        <w:autoSpaceDE w:val="0"/>
        <w:autoSpaceDN w:val="0"/>
        <w:adjustRightInd w:val="0"/>
        <w:rPr>
          <w:rFonts w:asciiTheme="majorBidi" w:hAnsiTheme="majorBidi" w:cstheme="majorBidi"/>
          <w:color w:val="000000"/>
          <w:lang w:val="en-US"/>
        </w:rPr>
      </w:pPr>
      <w:r w:rsidRPr="007A2802">
        <w:rPr>
          <w:rFonts w:asciiTheme="majorBidi" w:hAnsiTheme="majorBidi" w:cstheme="majorBidi"/>
          <w:color w:val="3C8E94"/>
          <w:lang w:val="en-US"/>
        </w:rPr>
        <w:t xml:space="preserve">• </w:t>
      </w:r>
      <w:r w:rsidRPr="007A2802">
        <w:rPr>
          <w:rFonts w:asciiTheme="majorBidi" w:hAnsiTheme="majorBidi" w:cstheme="majorBidi"/>
          <w:color w:val="000000"/>
          <w:lang w:val="en-US"/>
        </w:rPr>
        <w:t>Pathogen Modelling Program (Buchanan, USA, 1991)</w:t>
      </w:r>
    </w:p>
    <w:p w:rsidR="0092061B" w:rsidRPr="00970422" w:rsidRDefault="0092061B" w:rsidP="0092061B">
      <w:pPr>
        <w:autoSpaceDE w:val="0"/>
        <w:autoSpaceDN w:val="0"/>
        <w:adjustRightInd w:val="0"/>
        <w:rPr>
          <w:rFonts w:asciiTheme="majorBidi" w:hAnsiTheme="majorBidi" w:cstheme="majorBidi"/>
          <w:color w:val="000000"/>
          <w:lang w:val="en-US"/>
        </w:rPr>
      </w:pPr>
      <w:r w:rsidRPr="00970422">
        <w:rPr>
          <w:rFonts w:asciiTheme="majorBidi" w:hAnsiTheme="majorBidi" w:cstheme="majorBidi"/>
          <w:color w:val="3C8E94"/>
          <w:lang w:val="en-US"/>
        </w:rPr>
        <w:t xml:space="preserve">• </w:t>
      </w:r>
      <w:r w:rsidRPr="00970422">
        <w:rPr>
          <w:rFonts w:asciiTheme="majorBidi" w:hAnsiTheme="majorBidi" w:cstheme="majorBidi"/>
          <w:color w:val="000000"/>
          <w:lang w:val="en-US"/>
        </w:rPr>
        <w:t>Decision Support System (Zwietering, NL, 1992)</w:t>
      </w:r>
    </w:p>
    <w:p w:rsidR="0092061B" w:rsidRPr="00970422" w:rsidRDefault="0092061B" w:rsidP="0092061B">
      <w:pPr>
        <w:autoSpaceDE w:val="0"/>
        <w:autoSpaceDN w:val="0"/>
        <w:adjustRightInd w:val="0"/>
        <w:rPr>
          <w:rFonts w:asciiTheme="majorBidi" w:hAnsiTheme="majorBidi" w:cstheme="majorBidi"/>
          <w:color w:val="000000"/>
          <w:lang w:val="en-US"/>
        </w:rPr>
      </w:pPr>
      <w:r w:rsidRPr="00970422">
        <w:rPr>
          <w:rFonts w:asciiTheme="majorBidi" w:hAnsiTheme="majorBidi" w:cstheme="majorBidi"/>
          <w:color w:val="3C8E94"/>
          <w:lang w:val="en-US"/>
        </w:rPr>
        <w:t xml:space="preserve">• </w:t>
      </w:r>
      <w:r w:rsidRPr="00970422">
        <w:rPr>
          <w:rFonts w:asciiTheme="majorBidi" w:hAnsiTheme="majorBidi" w:cstheme="majorBidi"/>
          <w:color w:val="000000"/>
          <w:lang w:val="en-US"/>
        </w:rPr>
        <w:t>Food Micromodel (Mc Clure &amp; al, UK, 1994)</w:t>
      </w:r>
    </w:p>
    <w:p w:rsidR="0092061B" w:rsidRPr="00970422" w:rsidRDefault="0092061B" w:rsidP="0092061B">
      <w:pPr>
        <w:autoSpaceDE w:val="0"/>
        <w:autoSpaceDN w:val="0"/>
        <w:adjustRightInd w:val="0"/>
        <w:rPr>
          <w:rFonts w:asciiTheme="majorBidi" w:hAnsiTheme="majorBidi" w:cstheme="majorBidi"/>
          <w:color w:val="000000"/>
        </w:rPr>
      </w:pPr>
      <w:r w:rsidRPr="00970422">
        <w:rPr>
          <w:rFonts w:asciiTheme="majorBidi" w:hAnsiTheme="majorBidi" w:cstheme="majorBidi"/>
          <w:color w:val="3C8E94"/>
        </w:rPr>
        <w:t xml:space="preserve">• </w:t>
      </w:r>
      <w:r w:rsidRPr="00970422">
        <w:rPr>
          <w:rFonts w:asciiTheme="majorBidi" w:hAnsiTheme="majorBidi" w:cstheme="majorBidi"/>
          <w:color w:val="000000"/>
        </w:rPr>
        <w:t>Ask-me (Rosso, France, 1995)</w:t>
      </w:r>
    </w:p>
    <w:p w:rsidR="0092061B" w:rsidRDefault="0092061B" w:rsidP="0092061B">
      <w:pPr>
        <w:autoSpaceDE w:val="0"/>
        <w:autoSpaceDN w:val="0"/>
        <w:adjustRightInd w:val="0"/>
        <w:rPr>
          <w:rFonts w:asciiTheme="majorBidi" w:hAnsiTheme="majorBidi" w:cstheme="majorBidi"/>
          <w:color w:val="000000"/>
        </w:rPr>
      </w:pPr>
      <w:r w:rsidRPr="00970422">
        <w:rPr>
          <w:rFonts w:asciiTheme="majorBidi" w:hAnsiTheme="majorBidi" w:cstheme="majorBidi"/>
          <w:color w:val="3C8E94"/>
        </w:rPr>
        <w:t xml:space="preserve">• </w:t>
      </w:r>
      <w:r w:rsidRPr="00970422">
        <w:rPr>
          <w:rFonts w:asciiTheme="majorBidi" w:hAnsiTheme="majorBidi" w:cstheme="majorBidi"/>
          <w:color w:val="000000"/>
        </w:rPr>
        <w:t>Sym’Previus (Collectif, France, 2005)</w:t>
      </w:r>
    </w:p>
    <w:p w:rsidR="0092061B" w:rsidRDefault="0092061B" w:rsidP="0092061B">
      <w:pPr>
        <w:autoSpaceDE w:val="0"/>
        <w:autoSpaceDN w:val="0"/>
        <w:adjustRightInd w:val="0"/>
        <w:rPr>
          <w:rFonts w:asciiTheme="majorBidi" w:hAnsiTheme="majorBidi" w:cstheme="majorBidi"/>
          <w:color w:val="000000"/>
        </w:rPr>
      </w:pPr>
    </w:p>
    <w:p w:rsidR="0092061B" w:rsidRPr="006E0A1E" w:rsidRDefault="006E0A1E" w:rsidP="0092061B">
      <w:pPr>
        <w:autoSpaceDE w:val="0"/>
        <w:autoSpaceDN w:val="0"/>
        <w:adjustRightInd w:val="0"/>
        <w:jc w:val="both"/>
        <w:rPr>
          <w:rFonts w:asciiTheme="majorBidi" w:hAnsiTheme="majorBidi" w:cstheme="majorBidi"/>
          <w:b/>
          <w:bCs/>
          <w:color w:val="0070C0"/>
        </w:rPr>
      </w:pPr>
      <w:r w:rsidRPr="006E0A1E">
        <w:rPr>
          <w:rFonts w:asciiTheme="majorBidi" w:hAnsiTheme="majorBidi" w:cstheme="majorBidi"/>
          <w:b/>
          <w:bCs/>
          <w:color w:val="0070C0"/>
        </w:rPr>
        <w:t xml:space="preserve">II.4.3. </w:t>
      </w:r>
      <w:r w:rsidR="0092061B" w:rsidRPr="006E0A1E">
        <w:rPr>
          <w:rFonts w:asciiTheme="majorBidi" w:hAnsiTheme="majorBidi" w:cstheme="majorBidi"/>
          <w:b/>
          <w:bCs/>
          <w:color w:val="0070C0"/>
        </w:rPr>
        <w:t>Applications de la microbiologie prévisionnelle</w:t>
      </w:r>
    </w:p>
    <w:p w:rsidR="0092061B" w:rsidRPr="00E903F8" w:rsidRDefault="0092061B" w:rsidP="0092061B">
      <w:pPr>
        <w:pStyle w:val="a6"/>
        <w:numPr>
          <w:ilvl w:val="0"/>
          <w:numId w:val="27"/>
        </w:numPr>
        <w:autoSpaceDE w:val="0"/>
        <w:autoSpaceDN w:val="0"/>
        <w:adjustRightInd w:val="0"/>
        <w:jc w:val="both"/>
        <w:rPr>
          <w:rFonts w:asciiTheme="majorBidi" w:hAnsiTheme="majorBidi" w:cstheme="majorBidi"/>
          <w:color w:val="000000"/>
        </w:rPr>
      </w:pPr>
      <w:r w:rsidRPr="00E903F8">
        <w:rPr>
          <w:rFonts w:asciiTheme="majorBidi" w:hAnsiTheme="majorBidi" w:cstheme="majorBidi"/>
          <w:color w:val="000000"/>
        </w:rPr>
        <w:t xml:space="preserve">Détermination des </w:t>
      </w:r>
      <w:r w:rsidRPr="00CD1DCD">
        <w:rPr>
          <w:rFonts w:asciiTheme="majorBidi" w:hAnsiTheme="majorBidi" w:cstheme="majorBidi"/>
          <w:b/>
          <w:bCs/>
          <w:color w:val="009B9B"/>
        </w:rPr>
        <w:t>dates limites</w:t>
      </w:r>
      <w:r w:rsidRPr="00E903F8">
        <w:rPr>
          <w:rFonts w:asciiTheme="majorBidi" w:hAnsiTheme="majorBidi" w:cstheme="majorBidi"/>
          <w:color w:val="009B9B"/>
        </w:rPr>
        <w:t xml:space="preserve"> </w:t>
      </w:r>
      <w:r w:rsidRPr="00E903F8">
        <w:rPr>
          <w:rFonts w:asciiTheme="majorBidi" w:hAnsiTheme="majorBidi" w:cstheme="majorBidi"/>
          <w:color w:val="000000"/>
        </w:rPr>
        <w:t xml:space="preserve">de consommation (DLC) : notion de </w:t>
      </w:r>
      <w:r w:rsidRPr="00CD1DCD">
        <w:rPr>
          <w:rFonts w:asciiTheme="majorBidi" w:hAnsiTheme="majorBidi" w:cstheme="majorBidi"/>
          <w:b/>
          <w:bCs/>
          <w:color w:val="009B9B"/>
        </w:rPr>
        <w:t>dose minimale</w:t>
      </w:r>
      <w:r w:rsidRPr="00E903F8">
        <w:rPr>
          <w:rFonts w:asciiTheme="majorBidi" w:hAnsiTheme="majorBidi" w:cstheme="majorBidi"/>
          <w:color w:val="009B9B"/>
        </w:rPr>
        <w:t xml:space="preserve"> </w:t>
      </w:r>
      <w:r w:rsidRPr="00CD1DCD">
        <w:rPr>
          <w:rFonts w:asciiTheme="majorBidi" w:hAnsiTheme="majorBidi" w:cstheme="majorBidi"/>
          <w:b/>
          <w:bCs/>
          <w:color w:val="009B9B"/>
        </w:rPr>
        <w:t>infectieuse (DMI).</w:t>
      </w:r>
    </w:p>
    <w:p w:rsidR="0092061B" w:rsidRPr="00E903F8" w:rsidRDefault="0092061B" w:rsidP="0092061B">
      <w:pPr>
        <w:pStyle w:val="a6"/>
        <w:numPr>
          <w:ilvl w:val="0"/>
          <w:numId w:val="27"/>
        </w:numPr>
        <w:autoSpaceDE w:val="0"/>
        <w:autoSpaceDN w:val="0"/>
        <w:adjustRightInd w:val="0"/>
        <w:jc w:val="both"/>
        <w:rPr>
          <w:rFonts w:asciiTheme="majorBidi" w:hAnsiTheme="majorBidi" w:cstheme="majorBidi"/>
          <w:color w:val="000000"/>
        </w:rPr>
      </w:pPr>
      <w:r w:rsidRPr="00E903F8">
        <w:rPr>
          <w:rFonts w:asciiTheme="majorBidi" w:hAnsiTheme="majorBidi" w:cstheme="majorBidi"/>
          <w:color w:val="000000"/>
        </w:rPr>
        <w:t>Optimisation de procédés et les adapter afin de garantir la sécurité</w:t>
      </w:r>
      <w:r>
        <w:rPr>
          <w:rFonts w:asciiTheme="majorBidi" w:hAnsiTheme="majorBidi" w:cstheme="majorBidi"/>
          <w:color w:val="000000"/>
        </w:rPr>
        <w:t xml:space="preserve"> </w:t>
      </w:r>
      <w:r w:rsidRPr="00E903F8">
        <w:rPr>
          <w:rFonts w:asciiTheme="majorBidi" w:hAnsiTheme="majorBidi" w:cstheme="majorBidi"/>
          <w:color w:val="000000"/>
        </w:rPr>
        <w:t xml:space="preserve">de l’aliment </w:t>
      </w:r>
      <w:r w:rsidRPr="00E903F8">
        <w:rPr>
          <w:rFonts w:asciiTheme="majorBidi" w:hAnsiTheme="majorBidi" w:cstheme="majorBidi"/>
          <w:color w:val="4598A1"/>
        </w:rPr>
        <w:t xml:space="preserve">: </w:t>
      </w:r>
      <w:r w:rsidRPr="00CD1DCD">
        <w:rPr>
          <w:rFonts w:asciiTheme="majorBidi" w:hAnsiTheme="majorBidi" w:cstheme="majorBidi"/>
          <w:b/>
          <w:bCs/>
          <w:color w:val="4598A1"/>
        </w:rPr>
        <w:t>traitements thermiques, conditions de conservation…</w:t>
      </w:r>
    </w:p>
    <w:p w:rsidR="0092061B" w:rsidRPr="00E903F8" w:rsidRDefault="0092061B" w:rsidP="0092061B">
      <w:pPr>
        <w:pStyle w:val="a6"/>
        <w:numPr>
          <w:ilvl w:val="0"/>
          <w:numId w:val="27"/>
        </w:numPr>
        <w:autoSpaceDE w:val="0"/>
        <w:autoSpaceDN w:val="0"/>
        <w:adjustRightInd w:val="0"/>
        <w:jc w:val="both"/>
        <w:rPr>
          <w:rFonts w:asciiTheme="majorBidi" w:hAnsiTheme="majorBidi" w:cstheme="majorBidi"/>
          <w:color w:val="000000"/>
        </w:rPr>
      </w:pPr>
      <w:r w:rsidRPr="00E903F8">
        <w:rPr>
          <w:rFonts w:asciiTheme="majorBidi" w:hAnsiTheme="majorBidi" w:cstheme="majorBidi"/>
          <w:color w:val="000000"/>
        </w:rPr>
        <w:t xml:space="preserve">Aide au développement de </w:t>
      </w:r>
      <w:r w:rsidRPr="00CD1DCD">
        <w:rPr>
          <w:rFonts w:asciiTheme="majorBidi" w:hAnsiTheme="majorBidi" w:cstheme="majorBidi"/>
          <w:b/>
          <w:bCs/>
          <w:color w:val="009B9B"/>
        </w:rPr>
        <w:t xml:space="preserve">nouveaux produits </w:t>
      </w:r>
      <w:r w:rsidRPr="00CD1DCD">
        <w:rPr>
          <w:rFonts w:asciiTheme="majorBidi" w:hAnsiTheme="majorBidi" w:cstheme="majorBidi"/>
          <w:b/>
          <w:bCs/>
          <w:color w:val="4598A1"/>
        </w:rPr>
        <w:t>: formulation et procédé</w:t>
      </w:r>
    </w:p>
    <w:p w:rsidR="0092061B" w:rsidRDefault="0092061B" w:rsidP="0092061B">
      <w:pPr>
        <w:pStyle w:val="a6"/>
        <w:numPr>
          <w:ilvl w:val="0"/>
          <w:numId w:val="27"/>
        </w:numPr>
        <w:autoSpaceDE w:val="0"/>
        <w:autoSpaceDN w:val="0"/>
        <w:adjustRightInd w:val="0"/>
        <w:jc w:val="both"/>
        <w:rPr>
          <w:rFonts w:asciiTheme="majorBidi" w:hAnsiTheme="majorBidi" w:cstheme="majorBidi"/>
          <w:color w:val="000000"/>
        </w:rPr>
      </w:pPr>
      <w:r w:rsidRPr="00E903F8">
        <w:rPr>
          <w:rFonts w:asciiTheme="majorBidi" w:hAnsiTheme="majorBidi" w:cstheme="majorBidi"/>
          <w:color w:val="000000"/>
        </w:rPr>
        <w:t xml:space="preserve">Détermination des </w:t>
      </w:r>
      <w:r w:rsidRPr="00CD1DCD">
        <w:rPr>
          <w:rFonts w:asciiTheme="majorBidi" w:hAnsiTheme="majorBidi" w:cstheme="majorBidi"/>
          <w:b/>
          <w:bCs/>
          <w:color w:val="009B9B"/>
        </w:rPr>
        <w:t>limites critiques des facteurs</w:t>
      </w:r>
      <w:r w:rsidRPr="00E903F8">
        <w:rPr>
          <w:rFonts w:asciiTheme="majorBidi" w:hAnsiTheme="majorBidi" w:cstheme="majorBidi"/>
          <w:color w:val="009B9B"/>
        </w:rPr>
        <w:t xml:space="preserve"> </w:t>
      </w:r>
      <w:r w:rsidRPr="00E903F8">
        <w:rPr>
          <w:rFonts w:asciiTheme="majorBidi" w:hAnsiTheme="majorBidi" w:cstheme="majorBidi"/>
          <w:color w:val="000000"/>
        </w:rPr>
        <w:t>environnementaux</w:t>
      </w:r>
    </w:p>
    <w:p w:rsidR="0092061B" w:rsidRDefault="0092061B" w:rsidP="0092061B">
      <w:pPr>
        <w:pStyle w:val="a6"/>
        <w:numPr>
          <w:ilvl w:val="0"/>
          <w:numId w:val="27"/>
        </w:numPr>
        <w:autoSpaceDE w:val="0"/>
        <w:autoSpaceDN w:val="0"/>
        <w:adjustRightInd w:val="0"/>
        <w:jc w:val="both"/>
        <w:rPr>
          <w:rFonts w:asciiTheme="majorBidi" w:hAnsiTheme="majorBidi" w:cstheme="majorBidi"/>
          <w:color w:val="000000"/>
        </w:rPr>
      </w:pPr>
      <w:r w:rsidRPr="00E903F8">
        <w:rPr>
          <w:rFonts w:asciiTheme="majorBidi" w:hAnsiTheme="majorBidi" w:cstheme="majorBidi"/>
          <w:color w:val="000000"/>
        </w:rPr>
        <w:t>Exemple: détermination des points critiques microbiologiques</w:t>
      </w:r>
      <w:r>
        <w:rPr>
          <w:rFonts w:asciiTheme="majorBidi" w:hAnsiTheme="majorBidi" w:cstheme="majorBidi"/>
          <w:color w:val="000000"/>
        </w:rPr>
        <w:t xml:space="preserve"> </w:t>
      </w:r>
      <w:r w:rsidRPr="00E903F8">
        <w:rPr>
          <w:rFonts w:asciiTheme="majorBidi" w:hAnsiTheme="majorBidi" w:cstheme="majorBidi"/>
          <w:color w:val="000000"/>
        </w:rPr>
        <w:t>(HACCP)</w:t>
      </w:r>
    </w:p>
    <w:p w:rsidR="0092061B" w:rsidRPr="00E903F8" w:rsidRDefault="0092061B" w:rsidP="0092061B">
      <w:pPr>
        <w:autoSpaceDE w:val="0"/>
        <w:autoSpaceDN w:val="0"/>
        <w:adjustRightInd w:val="0"/>
        <w:ind w:left="360"/>
        <w:jc w:val="both"/>
        <w:rPr>
          <w:rFonts w:asciiTheme="majorBidi" w:hAnsiTheme="majorBidi" w:cstheme="majorBidi"/>
          <w:color w:val="000000"/>
        </w:rPr>
      </w:pPr>
      <w:r w:rsidRPr="00CD1DCD">
        <w:rPr>
          <w:rFonts w:asciiTheme="majorBidi" w:hAnsiTheme="majorBidi" w:cstheme="majorBidi"/>
          <w:color w:val="000000"/>
          <w:u w:val="single"/>
        </w:rPr>
        <w:t>HACCP:</w:t>
      </w:r>
      <w:r w:rsidRPr="00E903F8">
        <w:rPr>
          <w:rFonts w:asciiTheme="majorBidi" w:hAnsiTheme="majorBidi" w:cstheme="majorBidi"/>
          <w:color w:val="000000"/>
        </w:rPr>
        <w:t xml:space="preserve"> Hazard Analysis Critical Control Point: Système qui identifie, évalue et maîtrise les dangers significatifs au regard de la sécurité des aliments</w:t>
      </w:r>
    </w:p>
    <w:p w:rsidR="0092061B" w:rsidRDefault="0092061B" w:rsidP="0092061B">
      <w:pPr>
        <w:autoSpaceDE w:val="0"/>
        <w:autoSpaceDN w:val="0"/>
        <w:adjustRightInd w:val="0"/>
        <w:jc w:val="both"/>
        <w:rPr>
          <w:rFonts w:asciiTheme="majorBidi" w:hAnsiTheme="majorBidi" w:cstheme="majorBidi"/>
          <w:color w:val="000000"/>
        </w:rPr>
      </w:pPr>
    </w:p>
    <w:p w:rsidR="0092061B" w:rsidRPr="00E903F8" w:rsidRDefault="0092061B" w:rsidP="0092061B">
      <w:pPr>
        <w:autoSpaceDE w:val="0"/>
        <w:autoSpaceDN w:val="0"/>
        <w:adjustRightInd w:val="0"/>
        <w:jc w:val="both"/>
        <w:rPr>
          <w:rFonts w:asciiTheme="majorBidi" w:hAnsiTheme="majorBidi" w:cstheme="majorBidi"/>
          <w:color w:val="000000"/>
        </w:rPr>
      </w:pPr>
    </w:p>
    <w:p w:rsidR="0092061B" w:rsidRPr="006E0A1E" w:rsidRDefault="006E0A1E" w:rsidP="0092061B">
      <w:pPr>
        <w:autoSpaceDE w:val="0"/>
        <w:autoSpaceDN w:val="0"/>
        <w:adjustRightInd w:val="0"/>
        <w:rPr>
          <w:rFonts w:asciiTheme="majorBidi" w:hAnsiTheme="majorBidi" w:cstheme="majorBidi"/>
          <w:b/>
          <w:bCs/>
          <w:color w:val="0070C0"/>
        </w:rPr>
      </w:pPr>
      <w:r w:rsidRPr="006E0A1E">
        <w:rPr>
          <w:rFonts w:asciiTheme="majorBidi" w:hAnsiTheme="majorBidi" w:cstheme="majorBidi"/>
          <w:b/>
          <w:bCs/>
          <w:color w:val="0070C0"/>
        </w:rPr>
        <w:lastRenderedPageBreak/>
        <w:t xml:space="preserve">II.4.4. </w:t>
      </w:r>
      <w:r w:rsidR="0092061B" w:rsidRPr="006E0A1E">
        <w:rPr>
          <w:rFonts w:asciiTheme="majorBidi" w:hAnsiTheme="majorBidi" w:cstheme="majorBidi"/>
          <w:b/>
          <w:bCs/>
          <w:color w:val="0070C0"/>
        </w:rPr>
        <w:t>Limites de la microbiologie</w:t>
      </w:r>
      <w:r w:rsidRPr="006E0A1E">
        <w:rPr>
          <w:rFonts w:asciiTheme="majorBidi" w:hAnsiTheme="majorBidi" w:cstheme="majorBidi"/>
          <w:b/>
          <w:bCs/>
          <w:color w:val="0070C0"/>
        </w:rPr>
        <w:t xml:space="preserve"> </w:t>
      </w:r>
      <w:r w:rsidR="0092061B" w:rsidRPr="006E0A1E">
        <w:rPr>
          <w:rFonts w:asciiTheme="majorBidi" w:hAnsiTheme="majorBidi" w:cstheme="majorBidi"/>
          <w:b/>
          <w:bCs/>
          <w:color w:val="0070C0"/>
        </w:rPr>
        <w:t>prévisionnelle</w:t>
      </w:r>
    </w:p>
    <w:p w:rsidR="0092061B" w:rsidRPr="00E903F8" w:rsidRDefault="0092061B" w:rsidP="0092061B">
      <w:pPr>
        <w:autoSpaceDE w:val="0"/>
        <w:autoSpaceDN w:val="0"/>
        <w:adjustRightInd w:val="0"/>
        <w:rPr>
          <w:rFonts w:asciiTheme="majorBidi" w:hAnsiTheme="majorBidi" w:cstheme="majorBidi"/>
          <w:color w:val="009B9B"/>
        </w:rPr>
      </w:pPr>
    </w:p>
    <w:p w:rsidR="0092061B" w:rsidRPr="00E903F8" w:rsidRDefault="0092061B" w:rsidP="0092061B">
      <w:pPr>
        <w:autoSpaceDE w:val="0"/>
        <w:autoSpaceDN w:val="0"/>
        <w:adjustRightInd w:val="0"/>
        <w:rPr>
          <w:rFonts w:asciiTheme="majorBidi" w:hAnsiTheme="majorBidi" w:cstheme="majorBidi"/>
          <w:color w:val="3C8E94"/>
        </w:rPr>
      </w:pPr>
      <w:r w:rsidRPr="00E903F8">
        <w:rPr>
          <w:rFonts w:asciiTheme="majorBidi" w:hAnsiTheme="majorBidi" w:cstheme="majorBidi"/>
          <w:color w:val="009B9B"/>
        </w:rPr>
        <w:t xml:space="preserve">• </w:t>
      </w:r>
      <w:r w:rsidRPr="00E903F8">
        <w:rPr>
          <w:rFonts w:asciiTheme="majorBidi" w:hAnsiTheme="majorBidi" w:cstheme="majorBidi"/>
          <w:color w:val="000000"/>
        </w:rPr>
        <w:t xml:space="preserve">Non prise en compte de certaines </w:t>
      </w:r>
      <w:r w:rsidRPr="006E0A1E">
        <w:rPr>
          <w:rFonts w:asciiTheme="majorBidi" w:hAnsiTheme="majorBidi" w:cstheme="majorBidi"/>
          <w:b/>
          <w:bCs/>
          <w:color w:val="3C8E94"/>
        </w:rPr>
        <w:t>conditions environnementales</w:t>
      </w:r>
      <w:r w:rsidRPr="00E903F8">
        <w:rPr>
          <w:rFonts w:asciiTheme="majorBidi" w:hAnsiTheme="majorBidi" w:cstheme="majorBidi"/>
          <w:color w:val="3C8E94"/>
        </w:rPr>
        <w:t xml:space="preserve"> </w:t>
      </w:r>
      <w:r w:rsidRPr="00E903F8">
        <w:rPr>
          <w:rFonts w:asciiTheme="majorBidi" w:hAnsiTheme="majorBidi" w:cstheme="majorBidi"/>
          <w:color w:val="000000"/>
        </w:rPr>
        <w:t>et des phénomènes de compétition nutritionnelle</w:t>
      </w:r>
    </w:p>
    <w:p w:rsidR="0092061B" w:rsidRPr="00E903F8" w:rsidRDefault="0092061B" w:rsidP="0092061B">
      <w:pPr>
        <w:autoSpaceDE w:val="0"/>
        <w:autoSpaceDN w:val="0"/>
        <w:adjustRightInd w:val="0"/>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 xml:space="preserve">Les </w:t>
      </w:r>
      <w:r w:rsidRPr="006E0A1E">
        <w:rPr>
          <w:rFonts w:asciiTheme="majorBidi" w:hAnsiTheme="majorBidi" w:cstheme="majorBidi"/>
          <w:b/>
          <w:bCs/>
          <w:color w:val="3C8E94"/>
        </w:rPr>
        <w:t xml:space="preserve">interactions </w:t>
      </w:r>
      <w:r w:rsidRPr="00E903F8">
        <w:rPr>
          <w:rFonts w:asciiTheme="majorBidi" w:hAnsiTheme="majorBidi" w:cstheme="majorBidi"/>
          <w:color w:val="000000"/>
        </w:rPr>
        <w:t>entre microorganismes et les situations de stress microbien ne sont pas encore intégrés dans les modèles</w:t>
      </w:r>
    </w:p>
    <w:p w:rsidR="0092061B" w:rsidRPr="00E903F8" w:rsidRDefault="0092061B" w:rsidP="0092061B">
      <w:pPr>
        <w:autoSpaceDE w:val="0"/>
        <w:autoSpaceDN w:val="0"/>
        <w:adjustRightInd w:val="0"/>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 xml:space="preserve">Validation rare sur milieux complexes, solides comme </w:t>
      </w:r>
      <w:r w:rsidRPr="006E0A1E">
        <w:rPr>
          <w:rFonts w:asciiTheme="majorBidi" w:hAnsiTheme="majorBidi" w:cstheme="majorBidi"/>
          <w:color w:val="000000"/>
        </w:rPr>
        <w:t xml:space="preserve">les </w:t>
      </w:r>
      <w:r w:rsidRPr="006E0A1E">
        <w:rPr>
          <w:rFonts w:asciiTheme="majorBidi" w:hAnsiTheme="majorBidi" w:cstheme="majorBidi"/>
          <w:b/>
          <w:bCs/>
          <w:color w:val="3C8E94"/>
        </w:rPr>
        <w:t>matrices alimentaires</w:t>
      </w:r>
    </w:p>
    <w:p w:rsidR="0092061B" w:rsidRPr="00E903F8" w:rsidRDefault="0092061B" w:rsidP="0092061B">
      <w:pPr>
        <w:autoSpaceDE w:val="0"/>
        <w:autoSpaceDN w:val="0"/>
        <w:adjustRightInd w:val="0"/>
        <w:jc w:val="both"/>
        <w:rPr>
          <w:rFonts w:asciiTheme="majorBidi" w:hAnsiTheme="majorBidi" w:cstheme="majorBidi"/>
          <w:color w:val="000000"/>
        </w:rPr>
      </w:pPr>
    </w:p>
    <w:p w:rsidR="0092061B" w:rsidRPr="006E0A1E" w:rsidRDefault="006E0A1E" w:rsidP="0092061B">
      <w:pPr>
        <w:autoSpaceDE w:val="0"/>
        <w:autoSpaceDN w:val="0"/>
        <w:adjustRightInd w:val="0"/>
        <w:jc w:val="both"/>
        <w:rPr>
          <w:rFonts w:asciiTheme="majorBidi" w:hAnsiTheme="majorBidi" w:cstheme="majorBidi"/>
          <w:b/>
          <w:bCs/>
          <w:color w:val="0070C0"/>
        </w:rPr>
      </w:pPr>
      <w:r w:rsidRPr="006E0A1E">
        <w:rPr>
          <w:rFonts w:asciiTheme="majorBidi" w:hAnsiTheme="majorBidi" w:cstheme="majorBidi"/>
          <w:b/>
          <w:bCs/>
          <w:color w:val="0070C0"/>
        </w:rPr>
        <w:t xml:space="preserve">II.4.5. </w:t>
      </w:r>
      <w:r w:rsidR="0092061B" w:rsidRPr="006E0A1E">
        <w:rPr>
          <w:rFonts w:asciiTheme="majorBidi" w:hAnsiTheme="majorBidi" w:cstheme="majorBidi"/>
          <w:b/>
          <w:bCs/>
          <w:color w:val="0070C0"/>
        </w:rPr>
        <w:t>Conclusion sur la microbiologie prévisionnelle</w:t>
      </w:r>
    </w:p>
    <w:p w:rsidR="0092061B" w:rsidRPr="00E903F8" w:rsidRDefault="0092061B" w:rsidP="0092061B">
      <w:pPr>
        <w:autoSpaceDE w:val="0"/>
        <w:autoSpaceDN w:val="0"/>
        <w:adjustRightInd w:val="0"/>
        <w:jc w:val="both"/>
        <w:rPr>
          <w:rFonts w:asciiTheme="majorBidi" w:hAnsiTheme="majorBidi" w:cstheme="majorBidi"/>
          <w:color w:val="009B9B"/>
        </w:rPr>
      </w:pPr>
    </w:p>
    <w:p w:rsidR="0092061B" w:rsidRPr="00E903F8" w:rsidRDefault="0092061B" w:rsidP="0092061B">
      <w:pPr>
        <w:autoSpaceDE w:val="0"/>
        <w:autoSpaceDN w:val="0"/>
        <w:adjustRightInd w:val="0"/>
        <w:jc w:val="both"/>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Anticipation et maîtrise des risques</w:t>
      </w:r>
    </w:p>
    <w:p w:rsidR="0092061B" w:rsidRPr="00E903F8" w:rsidRDefault="0092061B" w:rsidP="0092061B">
      <w:pPr>
        <w:autoSpaceDE w:val="0"/>
        <w:autoSpaceDN w:val="0"/>
        <w:adjustRightInd w:val="0"/>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Praticabilité, rigueur, accès aux utilisateurs</w:t>
      </w:r>
    </w:p>
    <w:p w:rsidR="0092061B" w:rsidRPr="00E903F8" w:rsidRDefault="0092061B" w:rsidP="0092061B">
      <w:pPr>
        <w:autoSpaceDE w:val="0"/>
        <w:autoSpaceDN w:val="0"/>
        <w:adjustRightInd w:val="0"/>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Indissociable de l’expérience</w:t>
      </w:r>
    </w:p>
    <w:p w:rsidR="0092061B" w:rsidRPr="00E903F8" w:rsidRDefault="0092061B" w:rsidP="0092061B">
      <w:pPr>
        <w:autoSpaceDE w:val="0"/>
        <w:autoSpaceDN w:val="0"/>
        <w:adjustRightInd w:val="0"/>
        <w:rPr>
          <w:rFonts w:asciiTheme="majorBidi" w:hAnsiTheme="majorBidi" w:cstheme="majorBidi"/>
          <w:color w:val="000000"/>
        </w:rPr>
      </w:pPr>
    </w:p>
    <w:p w:rsidR="0092061B" w:rsidRPr="006E0A1E" w:rsidRDefault="006E0A1E" w:rsidP="0092061B">
      <w:pPr>
        <w:autoSpaceDE w:val="0"/>
        <w:autoSpaceDN w:val="0"/>
        <w:adjustRightInd w:val="0"/>
        <w:rPr>
          <w:rFonts w:asciiTheme="majorBidi" w:hAnsiTheme="majorBidi" w:cstheme="majorBidi"/>
          <w:b/>
          <w:bCs/>
          <w:color w:val="0070C0"/>
        </w:rPr>
      </w:pPr>
      <w:r w:rsidRPr="006E0A1E">
        <w:rPr>
          <w:rFonts w:asciiTheme="majorBidi" w:hAnsiTheme="majorBidi" w:cstheme="majorBidi"/>
          <w:b/>
          <w:bCs/>
          <w:color w:val="0070C0"/>
        </w:rPr>
        <w:t xml:space="preserve">II.4.6. </w:t>
      </w:r>
      <w:r w:rsidR="0092061B" w:rsidRPr="006E0A1E">
        <w:rPr>
          <w:rFonts w:asciiTheme="majorBidi" w:hAnsiTheme="majorBidi" w:cstheme="majorBidi"/>
          <w:b/>
          <w:bCs/>
          <w:color w:val="0070C0"/>
        </w:rPr>
        <w:t>Dans les années à venir :</w:t>
      </w:r>
    </w:p>
    <w:p w:rsidR="0092061B" w:rsidRPr="00E903F8" w:rsidRDefault="0092061B" w:rsidP="0092061B">
      <w:pPr>
        <w:autoSpaceDE w:val="0"/>
        <w:autoSpaceDN w:val="0"/>
        <w:adjustRightInd w:val="0"/>
        <w:rPr>
          <w:rFonts w:asciiTheme="majorBidi" w:hAnsiTheme="majorBidi" w:cstheme="majorBidi"/>
          <w:color w:val="009B9B"/>
        </w:rPr>
      </w:pPr>
    </w:p>
    <w:p w:rsidR="0092061B" w:rsidRPr="00E903F8" w:rsidRDefault="0092061B" w:rsidP="0092061B">
      <w:pPr>
        <w:autoSpaceDE w:val="0"/>
        <w:autoSpaceDN w:val="0"/>
        <w:adjustRightInd w:val="0"/>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Elargissement vers l’appréciation des risques pour le consommateur</w:t>
      </w:r>
    </w:p>
    <w:p w:rsidR="0092061B" w:rsidRPr="00E903F8" w:rsidRDefault="0092061B" w:rsidP="0092061B">
      <w:pPr>
        <w:autoSpaceDE w:val="0"/>
        <w:autoSpaceDN w:val="0"/>
        <w:adjustRightInd w:val="0"/>
        <w:rPr>
          <w:rFonts w:asciiTheme="majorBidi" w:hAnsiTheme="majorBidi" w:cstheme="majorBidi"/>
          <w:color w:val="000000"/>
        </w:rPr>
      </w:pPr>
      <w:r w:rsidRPr="00E903F8">
        <w:rPr>
          <w:rFonts w:asciiTheme="majorBidi" w:hAnsiTheme="majorBidi" w:cstheme="majorBidi"/>
          <w:color w:val="009B9B"/>
        </w:rPr>
        <w:t xml:space="preserve">• </w:t>
      </w:r>
      <w:r w:rsidRPr="00E903F8">
        <w:rPr>
          <w:rFonts w:asciiTheme="majorBidi" w:hAnsiTheme="majorBidi" w:cstheme="majorBidi"/>
          <w:color w:val="000000"/>
        </w:rPr>
        <w:t>Prises en compte de scenarii de plus en plus divers, et de plus en plus complexes</w:t>
      </w:r>
    </w:p>
    <w:p w:rsidR="0092061B" w:rsidRPr="00E903F8" w:rsidRDefault="0092061B" w:rsidP="0092061B">
      <w:pPr>
        <w:autoSpaceDE w:val="0"/>
        <w:autoSpaceDN w:val="0"/>
        <w:adjustRightInd w:val="0"/>
        <w:rPr>
          <w:rFonts w:asciiTheme="majorBidi" w:hAnsiTheme="majorBidi" w:cstheme="majorBidi"/>
          <w:color w:val="000000"/>
        </w:rPr>
      </w:pPr>
    </w:p>
    <w:p w:rsidR="0092061B" w:rsidRPr="00E903F8" w:rsidRDefault="0092061B" w:rsidP="0092061B">
      <w:pPr>
        <w:autoSpaceDE w:val="0"/>
        <w:autoSpaceDN w:val="0"/>
        <w:adjustRightInd w:val="0"/>
        <w:rPr>
          <w:rFonts w:asciiTheme="majorBidi" w:hAnsiTheme="majorBidi" w:cstheme="majorBidi"/>
          <w:color w:val="000000"/>
        </w:rPr>
      </w:pPr>
    </w:p>
    <w:p w:rsidR="0092061B" w:rsidRPr="00E903F8" w:rsidRDefault="0092061B" w:rsidP="0092061B">
      <w:pPr>
        <w:autoSpaceDE w:val="0"/>
        <w:autoSpaceDN w:val="0"/>
        <w:adjustRightInd w:val="0"/>
        <w:rPr>
          <w:rFonts w:asciiTheme="majorBidi" w:hAnsiTheme="majorBidi" w:cstheme="majorBidi"/>
          <w:color w:val="000000"/>
        </w:rPr>
      </w:pPr>
    </w:p>
    <w:p w:rsidR="0092061B" w:rsidRPr="00E903F8" w:rsidRDefault="0092061B" w:rsidP="0092061B">
      <w:pPr>
        <w:jc w:val="both"/>
        <w:rPr>
          <w:rFonts w:asciiTheme="majorBidi" w:hAnsiTheme="majorBidi" w:cstheme="majorBidi"/>
        </w:rPr>
      </w:pPr>
    </w:p>
    <w:p w:rsidR="0092061B" w:rsidRDefault="0092061B" w:rsidP="0092061B">
      <w:pPr>
        <w:jc w:val="center"/>
        <w:rPr>
          <w:rFonts w:asciiTheme="majorBidi" w:eastAsia="Times New Roman" w:hAnsiTheme="majorBidi" w:cstheme="majorBidi"/>
          <w:b/>
          <w:bCs/>
          <w:color w:val="FF0000"/>
          <w:sz w:val="28"/>
          <w:szCs w:val="28"/>
        </w:rPr>
      </w:pPr>
    </w:p>
    <w:p w:rsidR="0092061B" w:rsidRDefault="0092061B" w:rsidP="0092061B">
      <w:pPr>
        <w:jc w:val="center"/>
        <w:rPr>
          <w:rFonts w:asciiTheme="majorBidi" w:eastAsia="Times New Roman" w:hAnsiTheme="majorBidi" w:cstheme="majorBidi"/>
          <w:b/>
          <w:bCs/>
          <w:color w:val="FF0000"/>
          <w:sz w:val="28"/>
          <w:szCs w:val="28"/>
        </w:rPr>
      </w:pPr>
    </w:p>
    <w:p w:rsidR="0092061B" w:rsidRDefault="0092061B"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6E0A1E" w:rsidRDefault="006E0A1E" w:rsidP="0092061B">
      <w:pPr>
        <w:jc w:val="center"/>
        <w:rPr>
          <w:rFonts w:asciiTheme="majorBidi" w:eastAsia="Times New Roman" w:hAnsiTheme="majorBidi" w:cstheme="majorBidi"/>
          <w:b/>
          <w:bCs/>
          <w:color w:val="FF0000"/>
          <w:sz w:val="28"/>
          <w:szCs w:val="28"/>
        </w:rPr>
      </w:pPr>
    </w:p>
    <w:p w:rsidR="00F577C3" w:rsidRDefault="00F577C3" w:rsidP="0092061B">
      <w:pPr>
        <w:jc w:val="center"/>
        <w:rPr>
          <w:rFonts w:asciiTheme="majorBidi" w:eastAsia="Times New Roman" w:hAnsiTheme="majorBidi" w:cstheme="majorBidi"/>
          <w:b/>
          <w:bCs/>
          <w:color w:val="FF0000"/>
          <w:sz w:val="28"/>
          <w:szCs w:val="28"/>
        </w:rPr>
      </w:pPr>
    </w:p>
    <w:p w:rsidR="00F577C3" w:rsidRDefault="00F577C3" w:rsidP="0092061B">
      <w:pPr>
        <w:jc w:val="center"/>
        <w:rPr>
          <w:rFonts w:asciiTheme="majorBidi" w:eastAsia="Times New Roman" w:hAnsiTheme="majorBidi" w:cstheme="majorBidi"/>
          <w:b/>
          <w:bCs/>
          <w:color w:val="FF0000"/>
          <w:sz w:val="28"/>
          <w:szCs w:val="28"/>
        </w:rPr>
      </w:pPr>
    </w:p>
    <w:p w:rsidR="0092061B" w:rsidRDefault="0092061B" w:rsidP="0092061B">
      <w:pPr>
        <w:jc w:val="center"/>
        <w:rPr>
          <w:rFonts w:asciiTheme="majorBidi" w:eastAsia="Times New Roman" w:hAnsiTheme="majorBidi" w:cstheme="majorBidi"/>
          <w:b/>
          <w:bCs/>
          <w:color w:val="FF0000"/>
          <w:sz w:val="28"/>
          <w:szCs w:val="28"/>
        </w:rPr>
      </w:pPr>
    </w:p>
    <w:p w:rsidR="0092061B" w:rsidRDefault="0092061B" w:rsidP="0092061B">
      <w:pPr>
        <w:jc w:val="center"/>
        <w:rPr>
          <w:rFonts w:asciiTheme="majorBidi" w:eastAsia="Times New Roman" w:hAnsiTheme="majorBidi" w:cstheme="majorBidi"/>
          <w:b/>
          <w:bCs/>
          <w:color w:val="FF0000"/>
          <w:sz w:val="28"/>
          <w:szCs w:val="28"/>
        </w:rPr>
      </w:pPr>
    </w:p>
    <w:p w:rsidR="0092061B" w:rsidRPr="0092061B" w:rsidRDefault="0092061B" w:rsidP="0092061B">
      <w:pPr>
        <w:jc w:val="center"/>
        <w:rPr>
          <w:rFonts w:asciiTheme="majorBidi" w:eastAsia="Times New Roman" w:hAnsiTheme="majorBidi" w:cstheme="majorBidi"/>
          <w:b/>
          <w:bCs/>
          <w:color w:val="FF0000"/>
          <w:sz w:val="28"/>
          <w:szCs w:val="28"/>
        </w:rPr>
      </w:pPr>
      <w:r w:rsidRPr="0092061B">
        <w:rPr>
          <w:rFonts w:asciiTheme="majorBidi" w:eastAsia="Times New Roman" w:hAnsiTheme="majorBidi" w:cstheme="majorBidi"/>
          <w:b/>
          <w:bCs/>
          <w:color w:val="FF0000"/>
          <w:sz w:val="28"/>
          <w:szCs w:val="28"/>
        </w:rPr>
        <w:lastRenderedPageBreak/>
        <w:t>IV. Les Mycotoxines</w:t>
      </w:r>
    </w:p>
    <w:p w:rsidR="0092061B" w:rsidRDefault="0092061B" w:rsidP="0092061B">
      <w:pPr>
        <w:jc w:val="both"/>
        <w:rPr>
          <w:rFonts w:asciiTheme="majorBidi" w:eastAsia="Times New Roman" w:hAnsiTheme="majorBidi" w:cstheme="majorBidi"/>
          <w:b/>
          <w:bCs/>
          <w:color w:val="0070C0"/>
        </w:rPr>
      </w:pPr>
      <w:r>
        <w:rPr>
          <w:rFonts w:asciiTheme="majorBidi" w:eastAsia="Times New Roman" w:hAnsiTheme="majorBidi" w:cstheme="majorBidi"/>
          <w:b/>
          <w:bCs/>
          <w:color w:val="0070C0"/>
        </w:rPr>
        <w:t>IV.1. Généralités</w:t>
      </w:r>
    </w:p>
    <w:p w:rsidR="0092061B" w:rsidRDefault="0092061B" w:rsidP="0092061B">
      <w:pPr>
        <w:jc w:val="both"/>
        <w:rPr>
          <w:rFonts w:asciiTheme="majorBidi" w:eastAsia="Times New Roman" w:hAnsiTheme="majorBidi" w:cstheme="majorBidi"/>
          <w:b/>
          <w:bCs/>
          <w:color w:val="0070C0"/>
        </w:rPr>
      </w:pPr>
    </w:p>
    <w:p w:rsidR="0092061B" w:rsidRPr="0006431C" w:rsidRDefault="0092061B" w:rsidP="0092061B">
      <w:pPr>
        <w:pStyle w:val="a6"/>
        <w:numPr>
          <w:ilvl w:val="0"/>
          <w:numId w:val="23"/>
        </w:numPr>
        <w:jc w:val="both"/>
        <w:rPr>
          <w:rFonts w:asciiTheme="majorBidi" w:eastAsia="Times New Roman" w:hAnsiTheme="majorBidi" w:cstheme="majorBidi"/>
          <w:b/>
          <w:bCs/>
          <w:color w:val="0070C0"/>
        </w:rPr>
      </w:pPr>
      <w:r>
        <w:t xml:space="preserve">La qualité sanitaire des produits alimentaires peut être menacée par toute une gamme de contaminants, incluant des toxines d’origine naturelle. Parmi celles-ci figurent les mycotoxines. </w:t>
      </w:r>
    </w:p>
    <w:p w:rsidR="0092061B" w:rsidRPr="0006431C" w:rsidRDefault="0092061B" w:rsidP="0092061B">
      <w:pPr>
        <w:pStyle w:val="a6"/>
        <w:numPr>
          <w:ilvl w:val="0"/>
          <w:numId w:val="23"/>
        </w:numPr>
        <w:jc w:val="both"/>
        <w:rPr>
          <w:rFonts w:asciiTheme="majorBidi" w:eastAsia="Times New Roman" w:hAnsiTheme="majorBidi" w:cstheme="majorBidi"/>
          <w:b/>
          <w:bCs/>
          <w:color w:val="0070C0"/>
        </w:rPr>
      </w:pPr>
      <w:r>
        <w:t xml:space="preserve">Le terme « mycotoxine » trouve son origine dans les racines grecques « mycos » (champignon) et « toxicum » (poison). Il désigne les métabolites secondaires produits par des champignons filamenteux (ou moisissures) et présentant un risque pour la santé de l’Homme et des animaux. </w:t>
      </w:r>
    </w:p>
    <w:p w:rsidR="0092061B" w:rsidRPr="0006431C" w:rsidRDefault="0092061B" w:rsidP="0092061B">
      <w:pPr>
        <w:pStyle w:val="a6"/>
        <w:numPr>
          <w:ilvl w:val="0"/>
          <w:numId w:val="23"/>
        </w:numPr>
        <w:jc w:val="both"/>
        <w:rPr>
          <w:rFonts w:asciiTheme="majorBidi" w:eastAsia="Times New Roman" w:hAnsiTheme="majorBidi" w:cstheme="majorBidi"/>
          <w:b/>
          <w:bCs/>
          <w:color w:val="0070C0"/>
        </w:rPr>
      </w:pPr>
      <w:r>
        <w:t>La plupart des mycotoxines sont chimiquement stables, résistent aux températures élevées, aux conditions de stockage et procédés de transformation, et se retrouvent dans les produits finis.</w:t>
      </w:r>
    </w:p>
    <w:p w:rsidR="0092061B" w:rsidRPr="0006431C" w:rsidRDefault="0092061B" w:rsidP="0092061B">
      <w:pPr>
        <w:pStyle w:val="a6"/>
        <w:numPr>
          <w:ilvl w:val="0"/>
          <w:numId w:val="23"/>
        </w:numPr>
        <w:jc w:val="both"/>
        <w:rPr>
          <w:rFonts w:asciiTheme="majorBidi" w:eastAsia="Times New Roman" w:hAnsiTheme="majorBidi" w:cstheme="majorBidi"/>
          <w:b/>
          <w:bCs/>
          <w:color w:val="0070C0"/>
        </w:rPr>
      </w:pPr>
      <w:r>
        <w:t>Plus de mille ont déjà été décrites, dont une trentaine avec des effets sur la santé préoccupants.</w:t>
      </w:r>
    </w:p>
    <w:p w:rsidR="0092061B" w:rsidRPr="0006431C" w:rsidRDefault="0092061B" w:rsidP="0092061B">
      <w:pPr>
        <w:pStyle w:val="a6"/>
        <w:numPr>
          <w:ilvl w:val="0"/>
          <w:numId w:val="23"/>
        </w:numPr>
        <w:jc w:val="both"/>
        <w:rPr>
          <w:rFonts w:asciiTheme="majorBidi" w:eastAsia="Times New Roman" w:hAnsiTheme="majorBidi" w:cstheme="majorBidi"/>
          <w:b/>
          <w:bCs/>
          <w:color w:val="0070C0"/>
        </w:rPr>
      </w:pPr>
      <w:r>
        <w:t xml:space="preserve"> Une même toxine peut être élaborée par diverses espèces fongiques et, inversement, une même souche fongique peut produire plusieurs mycotoxines. </w:t>
      </w:r>
    </w:p>
    <w:p w:rsidR="0092061B" w:rsidRPr="00347DF7" w:rsidRDefault="0092061B" w:rsidP="0092061B">
      <w:pPr>
        <w:pStyle w:val="a6"/>
        <w:numPr>
          <w:ilvl w:val="0"/>
          <w:numId w:val="23"/>
        </w:numPr>
        <w:jc w:val="both"/>
        <w:rPr>
          <w:rFonts w:asciiTheme="majorBidi" w:eastAsia="Times New Roman" w:hAnsiTheme="majorBidi" w:cstheme="majorBidi"/>
          <w:b/>
          <w:bCs/>
          <w:color w:val="0070C0"/>
        </w:rPr>
      </w:pPr>
      <w:r>
        <w:t>La présence du champignon ne prouve pas la présence de mycotoxines et une toxine peut persister alors que le champignon a disparu.</w:t>
      </w:r>
    </w:p>
    <w:p w:rsidR="0092061B" w:rsidRPr="0006431C" w:rsidRDefault="0092061B" w:rsidP="0092061B">
      <w:pPr>
        <w:pStyle w:val="a6"/>
        <w:numPr>
          <w:ilvl w:val="0"/>
          <w:numId w:val="23"/>
        </w:numPr>
        <w:jc w:val="both"/>
        <w:rPr>
          <w:rFonts w:asciiTheme="majorBidi" w:eastAsia="Times New Roman" w:hAnsiTheme="majorBidi" w:cstheme="majorBidi"/>
          <w:b/>
          <w:bCs/>
          <w:color w:val="0070C0"/>
        </w:rPr>
      </w:pPr>
      <w:r>
        <w:t>La production de mycotoxines par le champignon dépend fortement des stress environnementaux auquel il est soumis. Les conditions de culture et de stockage du grain (température, hygrométrie) peuvent donc faire varier fortement le niveau de contamination par la mycotoxine, à niveau de contamination fongique égal.</w:t>
      </w:r>
    </w:p>
    <w:p w:rsidR="0092061B" w:rsidRPr="00347DF7" w:rsidRDefault="0092061B" w:rsidP="0092061B">
      <w:pPr>
        <w:pStyle w:val="a6"/>
        <w:numPr>
          <w:ilvl w:val="0"/>
          <w:numId w:val="23"/>
        </w:numPr>
        <w:jc w:val="both"/>
        <w:rPr>
          <w:rFonts w:asciiTheme="majorBidi" w:eastAsia="Times New Roman" w:hAnsiTheme="majorBidi" w:cstheme="majorBidi"/>
          <w:b/>
          <w:bCs/>
          <w:color w:val="0070C0"/>
        </w:rPr>
      </w:pPr>
      <w:r>
        <w:t>La présence de mycotoxines dans des aliments a été mise en évidence pour la première fois en 1960, lors de la « maladie X du dindon », une mortalité très élevée observée dans un élevage de dindes en Grande-Bretagne. Il s’agissait d’aflatoxines produites par des souches d’</w:t>
      </w:r>
      <w:r w:rsidRPr="0006431C">
        <w:rPr>
          <w:i/>
          <w:iCs/>
        </w:rPr>
        <w:t>Aspergillus flavus</w:t>
      </w:r>
      <w:r>
        <w:t xml:space="preserve"> qui s’étaient développées sur les tourteaux d’arachide distribués aux animaux. </w:t>
      </w:r>
    </w:p>
    <w:p w:rsidR="0092061B" w:rsidRDefault="0092061B" w:rsidP="0092061B">
      <w:pPr>
        <w:pStyle w:val="a3"/>
        <w:numPr>
          <w:ilvl w:val="0"/>
          <w:numId w:val="23"/>
        </w:numPr>
      </w:pPr>
      <w:r>
        <w:t xml:space="preserve">Les produits végétaux, et en particulier les céréales et les fruits secs, sont les substrats privilégiés des champignons producteurs de mycotoxines. </w:t>
      </w:r>
    </w:p>
    <w:p w:rsidR="0092061B" w:rsidRDefault="0092061B" w:rsidP="0092061B">
      <w:pPr>
        <w:pStyle w:val="a3"/>
        <w:numPr>
          <w:ilvl w:val="0"/>
          <w:numId w:val="23"/>
        </w:numPr>
      </w:pPr>
      <w:r>
        <w:t>Une trentaine de mycotoxines sont actuellement considérées comme d’importance mondiale du fait des effets sur la santé humaine et animale et des pertes économiques considérables que leur présence engendre sur la productivité animale, les rendements et la qualité des récoltes ainsi que sur les échanges commerciaux .</w:t>
      </w:r>
    </w:p>
    <w:p w:rsidR="0092061B" w:rsidRDefault="0092061B" w:rsidP="0092061B">
      <w:pPr>
        <w:pStyle w:val="a3"/>
        <w:numPr>
          <w:ilvl w:val="0"/>
          <w:numId w:val="23"/>
        </w:numPr>
      </w:pPr>
      <w:r>
        <w:t>Quatre groupes de mycotoxines sont considérés comme les plus préoccupants du point de vue agro-alimentaire et sanitaire :</w:t>
      </w:r>
    </w:p>
    <w:p w:rsidR="0092061B" w:rsidRDefault="0092061B" w:rsidP="0092061B">
      <w:pPr>
        <w:pStyle w:val="a3"/>
        <w:numPr>
          <w:ilvl w:val="0"/>
          <w:numId w:val="25"/>
        </w:numPr>
      </w:pPr>
      <w:r w:rsidRPr="00347DF7">
        <w:rPr>
          <w:b/>
          <w:bCs/>
        </w:rPr>
        <w:t xml:space="preserve">les aflatoxines, </w:t>
      </w:r>
    </w:p>
    <w:p w:rsidR="0092061B" w:rsidRDefault="0092061B" w:rsidP="0092061B">
      <w:pPr>
        <w:pStyle w:val="a3"/>
        <w:numPr>
          <w:ilvl w:val="0"/>
          <w:numId w:val="25"/>
        </w:numPr>
      </w:pPr>
      <w:r w:rsidRPr="00347DF7">
        <w:rPr>
          <w:b/>
          <w:bCs/>
        </w:rPr>
        <w:t xml:space="preserve">les ochratoxines, </w:t>
      </w:r>
    </w:p>
    <w:p w:rsidR="0092061B" w:rsidRDefault="0092061B" w:rsidP="0092061B">
      <w:pPr>
        <w:pStyle w:val="a3"/>
        <w:numPr>
          <w:ilvl w:val="0"/>
          <w:numId w:val="25"/>
        </w:numPr>
      </w:pPr>
      <w:r w:rsidRPr="00347DF7">
        <w:rPr>
          <w:b/>
          <w:bCs/>
        </w:rPr>
        <w:t xml:space="preserve">les fusariotoxines, </w:t>
      </w:r>
    </w:p>
    <w:p w:rsidR="0092061B" w:rsidRPr="00347DF7" w:rsidRDefault="0092061B" w:rsidP="0092061B">
      <w:pPr>
        <w:pStyle w:val="a3"/>
        <w:numPr>
          <w:ilvl w:val="0"/>
          <w:numId w:val="25"/>
        </w:numPr>
      </w:pPr>
      <w:r w:rsidRPr="00347DF7">
        <w:rPr>
          <w:b/>
          <w:bCs/>
        </w:rPr>
        <w:t>la patuline.</w:t>
      </w:r>
    </w:p>
    <w:p w:rsidR="0092061B" w:rsidRDefault="0092061B" w:rsidP="0092061B">
      <w:pPr>
        <w:pStyle w:val="a3"/>
        <w:ind w:left="720"/>
        <w:rPr>
          <w:b/>
          <w:bCs/>
        </w:rPr>
      </w:pPr>
    </w:p>
    <w:p w:rsidR="0092061B" w:rsidRDefault="0092061B" w:rsidP="0092061B">
      <w:pPr>
        <w:pStyle w:val="a3"/>
        <w:ind w:left="720"/>
        <w:rPr>
          <w:b/>
          <w:bCs/>
        </w:rPr>
      </w:pPr>
    </w:p>
    <w:p w:rsidR="0092061B" w:rsidRDefault="0092061B" w:rsidP="0092061B">
      <w:pPr>
        <w:pStyle w:val="a3"/>
        <w:ind w:left="720"/>
        <w:rPr>
          <w:b/>
          <w:bCs/>
        </w:rPr>
      </w:pPr>
    </w:p>
    <w:p w:rsidR="0092061B" w:rsidRPr="00347DF7" w:rsidRDefault="0092061B" w:rsidP="0092061B">
      <w:pPr>
        <w:pStyle w:val="a3"/>
        <w:ind w:left="720"/>
        <w:rPr>
          <w:b/>
          <w:bCs/>
        </w:rPr>
      </w:pPr>
    </w:p>
    <w:p w:rsidR="0092061B" w:rsidRDefault="0092061B" w:rsidP="0092061B">
      <w:pPr>
        <w:pStyle w:val="a3"/>
      </w:pPr>
      <w:r>
        <w:lastRenderedPageBreak/>
        <w:t>Le tableau suivant présente les principales toxines, les champignons qui peuvent les produire et les matières premières où elles se développent en général.</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6"/>
      </w:tblGrid>
      <w:tr w:rsidR="0092061B" w:rsidTr="00593A0B">
        <w:tc>
          <w:tcPr>
            <w:tcW w:w="9216" w:type="dxa"/>
          </w:tcPr>
          <w:p w:rsidR="0092061B" w:rsidRDefault="0092061B" w:rsidP="00593A0B">
            <w:pPr>
              <w:pStyle w:val="a3"/>
            </w:pPr>
            <w:r w:rsidRPr="00A97539">
              <w:rPr>
                <w:sz w:val="24"/>
                <w:szCs w:val="24"/>
              </w:rPr>
              <w:object w:dxaOrig="9000" w:dyaOrig="4905">
                <v:shape id="_x0000_i1025" type="#_x0000_t75" style="width:450pt;height:212.25pt" o:ole="">
                  <v:imagedata r:id="rId8" o:title=""/>
                </v:shape>
                <o:OLEObject Type="Embed" ProgID="PBrush" ShapeID="_x0000_i1025" DrawAspect="Content" ObjectID="_1647044667" r:id="rId9"/>
              </w:object>
            </w:r>
          </w:p>
        </w:tc>
      </w:tr>
    </w:tbl>
    <w:p w:rsidR="0092061B" w:rsidRPr="0092061B" w:rsidRDefault="0092061B" w:rsidP="0092061B">
      <w:pPr>
        <w:pStyle w:val="3"/>
        <w:rPr>
          <w:color w:val="0070C0"/>
          <w:sz w:val="24"/>
          <w:szCs w:val="24"/>
        </w:rPr>
      </w:pPr>
      <w:r w:rsidRPr="0092061B">
        <w:rPr>
          <w:rFonts w:asciiTheme="majorBidi" w:hAnsiTheme="majorBidi" w:cstheme="majorBidi"/>
          <w:color w:val="0070C0"/>
          <w:sz w:val="24"/>
          <w:szCs w:val="24"/>
        </w:rPr>
        <w:t xml:space="preserve">IV.2. </w:t>
      </w:r>
      <w:r w:rsidRPr="0092061B">
        <w:rPr>
          <w:color w:val="0070C0"/>
          <w:sz w:val="24"/>
          <w:szCs w:val="24"/>
        </w:rPr>
        <w:t>Exposition de l’être humain aux mycotoxines</w:t>
      </w:r>
    </w:p>
    <w:p w:rsidR="0092061B" w:rsidRDefault="0092061B" w:rsidP="0092061B">
      <w:pPr>
        <w:pStyle w:val="a3"/>
      </w:pPr>
      <w:r>
        <w:t>L’être humain peut être exposé aux mycotoxines par les voies cutanée, respiratoire et alimentaire. L’exposition par voie cutanée et respiratoire reste très peu documentée à ce jour.</w:t>
      </w:r>
    </w:p>
    <w:p w:rsidR="0092061B" w:rsidRDefault="0092061B" w:rsidP="0092061B">
      <w:pPr>
        <w:pStyle w:val="a3"/>
        <w:numPr>
          <w:ilvl w:val="0"/>
          <w:numId w:val="26"/>
        </w:numPr>
        <w:jc w:val="both"/>
        <w:rPr>
          <w:rFonts w:ascii="Calibri" w:hAnsi="Calibri"/>
          <w:b/>
          <w:bCs/>
        </w:rPr>
      </w:pPr>
      <w:r>
        <w:t>L’exposition par voie respiratoire résulte de l’inhalation de particules contenant des mycotoxines (poussières de substrats contaminés, spores fongiques ou fragments de mycélium). Le maniement de produits céréaliers (moisson, transport, stockage, transformation…) est l’une des principales sources d’émission de poussières contaminées par des mycotoxines. Aussi les opérateurs du secteur agricole sont directement concernés par cette exposition. Des spores fongiques de moisissures toxinogènes peuvent aussi se retrouver dans l’environnement intérieur d’habitations humides propices au développement de moisissures sur les papiers, cartons et bois. Les occupants de ces locaux sont alors susceptibles d’inhaler des spores libérées dans l’atmosphère de la maison, et en conséquence les éventuelles mycotoxines qu’elles renferment.</w:t>
      </w:r>
      <w:r>
        <w:rPr>
          <w:rFonts w:ascii="Calibri" w:hAnsi="Calibri"/>
          <w:b/>
          <w:bCs/>
        </w:rPr>
        <w:t xml:space="preserve"> </w:t>
      </w:r>
    </w:p>
    <w:p w:rsidR="0092061B" w:rsidRDefault="0092061B" w:rsidP="0092061B">
      <w:pPr>
        <w:pStyle w:val="a3"/>
        <w:numPr>
          <w:ilvl w:val="0"/>
          <w:numId w:val="26"/>
        </w:numPr>
        <w:jc w:val="both"/>
      </w:pPr>
      <w:r>
        <w:t>Beaucoup plus étudiée est l’exposition aux mycotoxines par voie alimentaire.</w:t>
      </w:r>
      <w:r w:rsidRPr="00DA743D">
        <w:t xml:space="preserve"> </w:t>
      </w:r>
      <w:r>
        <w:t xml:space="preserve">Des études ont clairement démontré que les aliments et produits d’origine végétale, et en particulier les céréales, représentent la source d’exposition la plus préoccupante. En effet, les céréales, qui sont une des composantes majeures de l’alimentation de l’être humain, sont aussi des substrats privilégiés pour les champignons producteurs de mycotoxines. D’autre part, les mycotoxines ne sont que partiellement détruites par les procédés technologiques (cuisson, lyophilisation, fermentation, fractionnement…) et se retrouvent dans les produits transformés tels que le pain, les biscuits et les pâtes. Les autres produits d’origine végétale susceptibles d’être contaminés par des mycotoxines sont les fruits et légumes secs, les épices, le café, le cacao, les jus de fruits et leurs produits de fermentation. Il ne faut pas non plus négliger le risque de contamination de certains produits d’origine animale, et en particulier le lait, les viandes et les abats. Dans ces denrées, la présence de mycotoxines ou de leurs métabolites résulte principalement de la consommation d’aliments contaminés par les </w:t>
      </w:r>
      <w:r>
        <w:lastRenderedPageBreak/>
        <w:t>animaux d’élevage. En outre, dans le lait et les produits dérivés (fromages par exemple), la production de mycotoxines par des moisissures indésirables, ou même par des moisissures nécessaires à l’élaboration du produit, ne peut pas être totalement exclue .  En ce qui concerne les foies, muscles et graisse de volaille, des événements de contamination ont été rapportés. Par ailleurs, alors que des études expérimentales avec distribution d’aliments très contaminés ont suggéré la possibilité d’un transfert de mycotoxines dans les œufs. aucune enquête n’a mis en évidence des niveaux préoccupants de toxines dans les produits issus d’élevage de volailles.</w:t>
      </w:r>
    </w:p>
    <w:p w:rsidR="0092061B" w:rsidRPr="0092061B" w:rsidRDefault="0092061B" w:rsidP="0092061B">
      <w:pPr>
        <w:pStyle w:val="3"/>
        <w:rPr>
          <w:color w:val="0070C0"/>
          <w:u w:val="single"/>
        </w:rPr>
      </w:pPr>
      <w:r w:rsidRPr="0092061B">
        <w:rPr>
          <w:rFonts w:asciiTheme="majorBidi" w:hAnsiTheme="majorBidi" w:cstheme="majorBidi"/>
          <w:color w:val="0070C0"/>
          <w:sz w:val="24"/>
          <w:szCs w:val="24"/>
          <w:u w:val="single"/>
        </w:rPr>
        <w:t xml:space="preserve">IV.3. </w:t>
      </w:r>
      <w:r w:rsidRPr="0092061B">
        <w:rPr>
          <w:color w:val="0070C0"/>
          <w:sz w:val="24"/>
          <w:szCs w:val="24"/>
          <w:u w:val="single"/>
        </w:rPr>
        <w:t>Quelle protection des consommateurs</w:t>
      </w:r>
      <w:r w:rsidRPr="0092061B">
        <w:rPr>
          <w:color w:val="0070C0"/>
          <w:u w:val="single"/>
        </w:rPr>
        <w:t> ?</w:t>
      </w:r>
    </w:p>
    <w:p w:rsidR="0092061B" w:rsidRDefault="0092061B" w:rsidP="0092061B">
      <w:pPr>
        <w:pStyle w:val="a6"/>
        <w:numPr>
          <w:ilvl w:val="0"/>
          <w:numId w:val="26"/>
        </w:numPr>
        <w:spacing w:before="100" w:beforeAutospacing="1" w:after="100" w:afterAutospacing="1"/>
        <w:jc w:val="both"/>
        <w:rPr>
          <w:rFonts w:eastAsia="Times New Roman"/>
          <w:lang w:eastAsia="fr-FR"/>
        </w:rPr>
      </w:pPr>
      <w:r w:rsidRPr="00DA743D">
        <w:rPr>
          <w:rFonts w:eastAsia="Times New Roman"/>
          <w:lang w:eastAsia="fr-FR"/>
        </w:rPr>
        <w:t>La maîtrise du risque mycotoxique reste toujours d’actualité.</w:t>
      </w:r>
    </w:p>
    <w:p w:rsidR="0092061B" w:rsidRDefault="0092061B" w:rsidP="0092061B">
      <w:pPr>
        <w:pStyle w:val="a6"/>
        <w:numPr>
          <w:ilvl w:val="0"/>
          <w:numId w:val="26"/>
        </w:numPr>
        <w:spacing w:before="100" w:beforeAutospacing="1" w:after="100" w:afterAutospacing="1"/>
        <w:jc w:val="both"/>
        <w:rPr>
          <w:rFonts w:eastAsia="Times New Roman"/>
          <w:lang w:eastAsia="fr-FR"/>
        </w:rPr>
      </w:pPr>
      <w:r w:rsidRPr="00DA743D">
        <w:rPr>
          <w:rFonts w:eastAsia="Times New Roman"/>
          <w:lang w:eastAsia="fr-FR"/>
        </w:rPr>
        <w:t xml:space="preserve"> Il passe par la mise en place des moyens de prévention incluant des stratégies agronomiques, l’amélioration des conditions de récolte et de stockage et du suivi tout au long de la chaîne alimentaire. </w:t>
      </w:r>
    </w:p>
    <w:p w:rsidR="0092061B" w:rsidRPr="00DA743D" w:rsidRDefault="0092061B" w:rsidP="0092061B">
      <w:pPr>
        <w:pStyle w:val="a6"/>
        <w:numPr>
          <w:ilvl w:val="0"/>
          <w:numId w:val="26"/>
        </w:numPr>
        <w:spacing w:before="100" w:beforeAutospacing="1" w:after="100" w:afterAutospacing="1"/>
        <w:jc w:val="both"/>
        <w:rPr>
          <w:rFonts w:eastAsia="Times New Roman"/>
          <w:lang w:eastAsia="fr-FR"/>
        </w:rPr>
      </w:pPr>
      <w:r w:rsidRPr="00DA743D">
        <w:rPr>
          <w:rFonts w:eastAsia="Times New Roman"/>
          <w:lang w:eastAsia="fr-FR"/>
        </w:rPr>
        <w:t>Les réglementations instaurées dans de nombreux pays ont permis de limiter les mycotoxicoses aiguës liées à la consommation d’un aliment fortement contaminé. Ce qui inquiète toujours les toxicologues et épidémiologistes, ce sont les conséquences de la toxicité chronique liée à l’exposition aux faibles doses et aux mélanges caractéristiques de ce type de contamination.</w:t>
      </w:r>
    </w:p>
    <w:p w:rsidR="0092061B" w:rsidRPr="00DA743D" w:rsidRDefault="0092061B" w:rsidP="0092061B">
      <w:pPr>
        <w:pStyle w:val="a6"/>
        <w:jc w:val="both"/>
        <w:rPr>
          <w:rFonts w:eastAsia="Times New Roman"/>
          <w:lang w:eastAsia="fr-FR"/>
        </w:rPr>
      </w:pPr>
    </w:p>
    <w:p w:rsidR="0092061B" w:rsidRDefault="0092061B" w:rsidP="0092061B">
      <w:pPr>
        <w:pStyle w:val="a3"/>
        <w:ind w:left="720"/>
        <w:jc w:val="both"/>
      </w:pPr>
    </w:p>
    <w:p w:rsidR="0092061B" w:rsidRPr="00DA743D" w:rsidRDefault="0092061B" w:rsidP="0092061B">
      <w:pPr>
        <w:pStyle w:val="a3"/>
        <w:ind w:left="720"/>
        <w:jc w:val="both"/>
        <w:rPr>
          <w:rFonts w:ascii="Calibri" w:hAnsi="Calibri"/>
          <w:b/>
          <w:bCs/>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92061B" w:rsidRDefault="0092061B" w:rsidP="0092061B">
      <w:pPr>
        <w:jc w:val="both"/>
        <w:rPr>
          <w:rFonts w:ascii="Calibri" w:eastAsia="Times New Roman" w:hAnsi="Calibri"/>
          <w:b/>
          <w:bCs/>
          <w:highlight w:val="yellow"/>
        </w:rPr>
      </w:pPr>
    </w:p>
    <w:p w:rsidR="0035143E" w:rsidRDefault="0035143E" w:rsidP="0035143E">
      <w:pPr>
        <w:rPr>
          <w:rFonts w:ascii="Calibri" w:eastAsia="Times New Roman" w:hAnsi="Calibri"/>
          <w:b/>
          <w:bCs/>
        </w:rPr>
      </w:pPr>
    </w:p>
    <w:p w:rsidR="00F577C3" w:rsidRDefault="00F577C3" w:rsidP="0035143E">
      <w:pPr>
        <w:rPr>
          <w:rFonts w:ascii="Calibri" w:hAnsi="Calibri" w:cs="Calibri"/>
          <w:b/>
          <w:sz w:val="32"/>
          <w:szCs w:val="32"/>
        </w:rPr>
      </w:pPr>
    </w:p>
    <w:p w:rsidR="00AA4771" w:rsidRPr="00605D3B" w:rsidRDefault="00AA4771" w:rsidP="00F577C3">
      <w:pPr>
        <w:tabs>
          <w:tab w:val="left" w:pos="450"/>
          <w:tab w:val="center" w:pos="4536"/>
        </w:tabs>
        <w:jc w:val="center"/>
        <w:rPr>
          <w:rFonts w:asciiTheme="majorBidi" w:eastAsia="Times New Roman" w:hAnsiTheme="majorBidi" w:cstheme="majorBidi"/>
          <w:b/>
          <w:bCs/>
          <w:color w:val="FF0000"/>
          <w:sz w:val="28"/>
          <w:szCs w:val="28"/>
          <w:u w:val="single"/>
        </w:rPr>
      </w:pPr>
      <w:r w:rsidRPr="00605D3B">
        <w:rPr>
          <w:rFonts w:asciiTheme="majorBidi" w:eastAsia="Times New Roman" w:hAnsiTheme="majorBidi" w:cstheme="majorBidi"/>
          <w:b/>
          <w:bCs/>
          <w:color w:val="FF0000"/>
          <w:sz w:val="28"/>
          <w:szCs w:val="28"/>
          <w:u w:val="single"/>
        </w:rPr>
        <w:lastRenderedPageBreak/>
        <w:t>V. Principales Maladies Parasitaires Transmises Par Les Aliments</w:t>
      </w:r>
    </w:p>
    <w:p w:rsidR="00AA4771" w:rsidRPr="00EF2F1D" w:rsidRDefault="00AA4771" w:rsidP="00AA4771">
      <w:pPr>
        <w:jc w:val="both"/>
        <w:rPr>
          <w:rFonts w:asciiTheme="majorBidi" w:eastAsia="Times New Roman" w:hAnsiTheme="majorBidi" w:cstheme="majorBidi"/>
          <w:b/>
          <w:bCs/>
          <w:color w:val="0070C0"/>
          <w:u w:val="single"/>
        </w:rPr>
      </w:pPr>
    </w:p>
    <w:p w:rsidR="00AA4771" w:rsidRPr="00605D3B" w:rsidRDefault="00AA4771" w:rsidP="00AA4771">
      <w:pPr>
        <w:jc w:val="both"/>
        <w:rPr>
          <w:rFonts w:asciiTheme="majorBidi" w:eastAsia="Times New Roman" w:hAnsiTheme="majorBidi" w:cstheme="majorBidi"/>
          <w:b/>
          <w:bCs/>
          <w:color w:val="0070C0"/>
          <w:u w:val="single"/>
        </w:rPr>
      </w:pPr>
      <w:r w:rsidRPr="00605D3B">
        <w:rPr>
          <w:rFonts w:asciiTheme="majorBidi" w:eastAsia="Times New Roman" w:hAnsiTheme="majorBidi" w:cstheme="majorBidi"/>
          <w:b/>
          <w:bCs/>
          <w:color w:val="0070C0"/>
          <w:u w:val="single"/>
        </w:rPr>
        <w:t>V.1. Généralités :</w:t>
      </w:r>
    </w:p>
    <w:p w:rsidR="00AA4771" w:rsidRPr="00605D3B" w:rsidRDefault="00AA4771" w:rsidP="00AA4771">
      <w:pPr>
        <w:jc w:val="both"/>
        <w:rPr>
          <w:rFonts w:asciiTheme="majorBidi" w:eastAsia="Times New Roman" w:hAnsiTheme="majorBidi" w:cstheme="majorBidi"/>
          <w:b/>
          <w:bCs/>
        </w:rPr>
      </w:pPr>
    </w:p>
    <w:p w:rsidR="00AA4771" w:rsidRPr="00605D3B" w:rsidRDefault="00AA4771" w:rsidP="00AA4771">
      <w:pPr>
        <w:pStyle w:val="a6"/>
        <w:numPr>
          <w:ilvl w:val="0"/>
          <w:numId w:val="17"/>
        </w:numPr>
        <w:jc w:val="both"/>
        <w:rPr>
          <w:rFonts w:asciiTheme="majorBidi" w:hAnsiTheme="majorBidi" w:cstheme="majorBidi"/>
        </w:rPr>
      </w:pPr>
      <w:r w:rsidRPr="00605D3B">
        <w:rPr>
          <w:rFonts w:asciiTheme="majorBidi" w:hAnsiTheme="majorBidi" w:cstheme="majorBidi"/>
        </w:rPr>
        <w:t xml:space="preserve">Les parasites sont des organismes vivants qui sont protégés et nourris par des organismes vivants, leurs hôtes. </w:t>
      </w:r>
    </w:p>
    <w:p w:rsidR="00AA4771" w:rsidRPr="00605D3B" w:rsidRDefault="00AA4771" w:rsidP="00AA4771">
      <w:pPr>
        <w:pStyle w:val="a6"/>
        <w:numPr>
          <w:ilvl w:val="0"/>
          <w:numId w:val="17"/>
        </w:numPr>
        <w:jc w:val="both"/>
        <w:rPr>
          <w:rFonts w:asciiTheme="majorBidi" w:hAnsiTheme="majorBidi" w:cstheme="majorBidi"/>
        </w:rPr>
      </w:pPr>
      <w:r w:rsidRPr="00605D3B">
        <w:rPr>
          <w:rFonts w:asciiTheme="majorBidi" w:hAnsiTheme="majorBidi" w:cstheme="majorBidi"/>
        </w:rPr>
        <w:t xml:space="preserve">Plus de 100 parasites susceptibles d’être transmis à l’homme par la nourriture ou l’eau et causer des maladies sont connus aujourd’hui. </w:t>
      </w:r>
    </w:p>
    <w:p w:rsidR="00AA4771" w:rsidRPr="00605D3B" w:rsidRDefault="00AA4771" w:rsidP="00AA4771">
      <w:pPr>
        <w:pStyle w:val="a6"/>
        <w:numPr>
          <w:ilvl w:val="0"/>
          <w:numId w:val="17"/>
        </w:numPr>
        <w:jc w:val="both"/>
        <w:rPr>
          <w:rFonts w:asciiTheme="majorBidi" w:hAnsiTheme="majorBidi" w:cstheme="majorBidi"/>
        </w:rPr>
      </w:pPr>
      <w:r w:rsidRPr="00605D3B">
        <w:rPr>
          <w:rFonts w:asciiTheme="majorBidi" w:hAnsiTheme="majorBidi" w:cstheme="majorBidi"/>
        </w:rPr>
        <w:t xml:space="preserve">Les parasites les plus communs sont </w:t>
      </w:r>
      <w:r w:rsidRPr="00605D3B">
        <w:rPr>
          <w:rFonts w:asciiTheme="majorBidi" w:hAnsiTheme="majorBidi" w:cstheme="majorBidi"/>
          <w:b/>
          <w:bCs/>
        </w:rPr>
        <w:t>les vers (</w:t>
      </w:r>
      <w:r w:rsidRPr="00605D3B">
        <w:rPr>
          <w:rFonts w:asciiTheme="majorBidi" w:eastAsia="Times New Roman" w:hAnsiTheme="majorBidi" w:cstheme="majorBidi"/>
          <w:b/>
          <w:bCs/>
        </w:rPr>
        <w:t>Helminthes)</w:t>
      </w:r>
      <w:r w:rsidRPr="00605D3B">
        <w:rPr>
          <w:rFonts w:asciiTheme="majorBidi" w:hAnsiTheme="majorBidi" w:cstheme="majorBidi"/>
          <w:b/>
          <w:bCs/>
        </w:rPr>
        <w:t xml:space="preserve">, </w:t>
      </w:r>
      <w:r w:rsidRPr="00605D3B">
        <w:rPr>
          <w:rFonts w:asciiTheme="majorBidi" w:hAnsiTheme="majorBidi" w:cstheme="majorBidi"/>
        </w:rPr>
        <w:t xml:space="preserve">comme les ténias et les ascaris, mais beaucoup sont des organismes unicellulaires microscopiques. Au nombre de ces organismes </w:t>
      </w:r>
      <w:r w:rsidRPr="00605D3B">
        <w:rPr>
          <w:rFonts w:asciiTheme="majorBidi" w:hAnsiTheme="majorBidi" w:cstheme="majorBidi"/>
          <w:b/>
          <w:bCs/>
        </w:rPr>
        <w:t>parasitaires unicellulaires</w:t>
      </w:r>
      <w:r w:rsidRPr="00605D3B">
        <w:rPr>
          <w:rFonts w:asciiTheme="majorBidi" w:hAnsiTheme="majorBidi" w:cstheme="majorBidi"/>
        </w:rPr>
        <w:t xml:space="preserve"> ou </w:t>
      </w:r>
      <w:r w:rsidRPr="00605D3B">
        <w:rPr>
          <w:rFonts w:asciiTheme="majorBidi" w:hAnsiTheme="majorBidi" w:cstheme="majorBidi"/>
          <w:b/>
          <w:bCs/>
        </w:rPr>
        <w:t>protozoaires</w:t>
      </w:r>
      <w:r w:rsidRPr="00605D3B">
        <w:rPr>
          <w:rFonts w:asciiTheme="majorBidi" w:hAnsiTheme="majorBidi" w:cstheme="majorBidi"/>
        </w:rPr>
        <w:t xml:space="preserve"> figurent </w:t>
      </w:r>
      <w:r w:rsidRPr="00605D3B">
        <w:rPr>
          <w:rStyle w:val="a8"/>
          <w:rFonts w:asciiTheme="majorBidi" w:hAnsiTheme="majorBidi" w:cstheme="majorBidi"/>
        </w:rPr>
        <w:t>Toxoplasma gondii</w:t>
      </w:r>
      <w:r w:rsidRPr="00605D3B">
        <w:rPr>
          <w:rFonts w:asciiTheme="majorBidi" w:hAnsiTheme="majorBidi" w:cstheme="majorBidi"/>
        </w:rPr>
        <w:t xml:space="preserve">, </w:t>
      </w:r>
      <w:r w:rsidRPr="00605D3B">
        <w:rPr>
          <w:rStyle w:val="a8"/>
          <w:rFonts w:asciiTheme="majorBidi" w:hAnsiTheme="majorBidi" w:cstheme="majorBidi"/>
        </w:rPr>
        <w:t xml:space="preserve">Giardia duodenalis </w:t>
      </w:r>
      <w:r w:rsidRPr="00605D3B">
        <w:rPr>
          <w:rFonts w:asciiTheme="majorBidi" w:hAnsiTheme="majorBidi" w:cstheme="majorBidi"/>
        </w:rPr>
        <w:t xml:space="preserve">et </w:t>
      </w:r>
      <w:r w:rsidRPr="00605D3B">
        <w:rPr>
          <w:rStyle w:val="a8"/>
          <w:rFonts w:asciiTheme="majorBidi" w:hAnsiTheme="majorBidi" w:cstheme="majorBidi"/>
        </w:rPr>
        <w:t>Cryptosporidium spp</w:t>
      </w:r>
      <w:r w:rsidRPr="00605D3B">
        <w:rPr>
          <w:rFonts w:asciiTheme="majorBidi" w:hAnsiTheme="majorBidi" w:cstheme="majorBidi"/>
        </w:rPr>
        <w:t xml:space="preserve">. </w:t>
      </w:r>
    </w:p>
    <w:p w:rsidR="00AA4771" w:rsidRPr="00605D3B" w:rsidRDefault="00AA4771" w:rsidP="00AA4771">
      <w:pPr>
        <w:pStyle w:val="a6"/>
        <w:numPr>
          <w:ilvl w:val="0"/>
          <w:numId w:val="17"/>
        </w:numPr>
        <w:jc w:val="both"/>
        <w:rPr>
          <w:rFonts w:asciiTheme="majorBidi" w:hAnsiTheme="majorBidi" w:cstheme="majorBidi"/>
        </w:rPr>
      </w:pPr>
      <w:r w:rsidRPr="00605D3B">
        <w:rPr>
          <w:rFonts w:asciiTheme="majorBidi" w:hAnsiTheme="majorBidi" w:cstheme="majorBidi"/>
        </w:rPr>
        <w:t xml:space="preserve">Les conséquences d’une infection parasitaire d’origine alimentaire dépendent du type de parasite, mais l’état de santé général de la personne infectée joue aussi un rôle essentiel. </w:t>
      </w:r>
    </w:p>
    <w:p w:rsidR="00AA4771" w:rsidRPr="00605D3B" w:rsidRDefault="00AA4771" w:rsidP="00AA4771">
      <w:pPr>
        <w:pStyle w:val="a6"/>
        <w:numPr>
          <w:ilvl w:val="0"/>
          <w:numId w:val="17"/>
        </w:numPr>
        <w:jc w:val="both"/>
        <w:rPr>
          <w:rFonts w:asciiTheme="majorBidi" w:hAnsiTheme="majorBidi" w:cstheme="majorBidi"/>
        </w:rPr>
      </w:pPr>
      <w:r w:rsidRPr="00605D3B">
        <w:rPr>
          <w:rFonts w:asciiTheme="majorBidi" w:hAnsiTheme="majorBidi" w:cstheme="majorBidi"/>
        </w:rPr>
        <w:t>Il est important pour la santé publique que notre alimentation soit exempte de ces agents pathogènes.</w:t>
      </w:r>
    </w:p>
    <w:p w:rsidR="00AA4771" w:rsidRPr="00605D3B" w:rsidRDefault="00AA4771" w:rsidP="00AA4771">
      <w:pPr>
        <w:spacing w:before="100" w:beforeAutospacing="1" w:after="100" w:afterAutospacing="1"/>
        <w:jc w:val="both"/>
        <w:outlineLvl w:val="1"/>
        <w:rPr>
          <w:rFonts w:asciiTheme="majorBidi" w:eastAsia="Times New Roman" w:hAnsiTheme="majorBidi" w:cstheme="majorBidi"/>
          <w:b/>
          <w:bCs/>
          <w:color w:val="0070C0"/>
          <w:u w:val="single"/>
          <w:lang w:eastAsia="fr-FR"/>
        </w:rPr>
      </w:pPr>
      <w:r w:rsidRPr="00605D3B">
        <w:rPr>
          <w:rFonts w:asciiTheme="majorBidi" w:eastAsia="Times New Roman" w:hAnsiTheme="majorBidi" w:cstheme="majorBidi"/>
          <w:b/>
          <w:bCs/>
          <w:color w:val="0070C0"/>
          <w:u w:val="single"/>
          <w:lang w:eastAsia="fr-FR"/>
        </w:rPr>
        <w:t>V.2. Les dix parasites alimentaires les plus dangereux pour l'Homme</w:t>
      </w:r>
    </w:p>
    <w:p w:rsidR="00AA4771" w:rsidRPr="00605D3B" w:rsidRDefault="00AA4771" w:rsidP="00AA4771">
      <w:pPr>
        <w:spacing w:before="100" w:beforeAutospacing="1" w:after="100" w:afterAutospacing="1"/>
        <w:jc w:val="both"/>
        <w:rPr>
          <w:rFonts w:asciiTheme="majorBidi" w:eastAsia="Times New Roman" w:hAnsiTheme="majorBidi" w:cstheme="majorBidi"/>
          <w:lang w:eastAsia="fr-FR"/>
        </w:rPr>
      </w:pPr>
      <w:r w:rsidRPr="00605D3B">
        <w:rPr>
          <w:rFonts w:asciiTheme="majorBidi" w:eastAsia="Times New Roman" w:hAnsiTheme="majorBidi" w:cstheme="majorBidi"/>
          <w:lang w:eastAsia="fr-FR"/>
        </w:rPr>
        <w:t>Une liste des dix parasites d'origine alimentaire les plus nuisibles à l'échelle mondiale vient d'être publiée par l'Organisation des Nations Unies pour l'alimentation et l'agriculture (FAO). Objectif : élaborer de nouvelles normes pour le commerce alimentaire mondial permettant d'aider les pays à contrôler la présence de ces parasites dans la chaîne alimentaire.</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0" w:history="1">
        <w:r w:rsidR="00AA4771" w:rsidRPr="00EF2F1D">
          <w:rPr>
            <w:rFonts w:asciiTheme="majorBidi" w:eastAsia="Times New Roman" w:hAnsiTheme="majorBidi" w:cstheme="majorBidi"/>
            <w:color w:val="0000FF"/>
            <w:u w:val="single"/>
            <w:lang w:eastAsia="fr-FR"/>
          </w:rPr>
          <w:t>Taenia solium</w:t>
        </w:r>
      </w:hyperlink>
      <w:r w:rsidR="00AA4771" w:rsidRPr="00EF2F1D">
        <w:rPr>
          <w:rFonts w:asciiTheme="majorBidi" w:eastAsia="Times New Roman" w:hAnsiTheme="majorBidi" w:cstheme="majorBidi"/>
          <w:lang w:eastAsia="fr-FR"/>
        </w:rPr>
        <w:t xml:space="preserve"> : ténia du </w:t>
      </w:r>
      <w:r w:rsidR="00AA4771" w:rsidRPr="00605D3B">
        <w:rPr>
          <w:rFonts w:asciiTheme="majorBidi" w:eastAsia="Times New Roman" w:hAnsiTheme="majorBidi" w:cstheme="majorBidi"/>
          <w:b/>
          <w:bCs/>
          <w:lang w:eastAsia="fr-FR"/>
        </w:rPr>
        <w:t>porc</w:t>
      </w:r>
      <w:r w:rsidR="00AA4771" w:rsidRPr="00EF2F1D">
        <w:rPr>
          <w:rFonts w:asciiTheme="majorBidi" w:eastAsia="Times New Roman" w:hAnsiTheme="majorBidi" w:cstheme="majorBidi"/>
          <w:lang w:eastAsia="fr-FR"/>
        </w:rPr>
        <w:t xml:space="preserve">, dans la viande de </w:t>
      </w:r>
      <w:r w:rsidR="00AA4771" w:rsidRPr="00605D3B">
        <w:rPr>
          <w:rFonts w:asciiTheme="majorBidi" w:eastAsia="Times New Roman" w:hAnsiTheme="majorBidi" w:cstheme="majorBidi"/>
          <w:b/>
          <w:bCs/>
          <w:lang w:eastAsia="fr-FR"/>
        </w:rPr>
        <w:t>porc</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1" w:history="1">
        <w:r w:rsidR="00AA4771" w:rsidRPr="00EF2F1D">
          <w:rPr>
            <w:rFonts w:asciiTheme="majorBidi" w:eastAsia="Times New Roman" w:hAnsiTheme="majorBidi" w:cstheme="majorBidi"/>
            <w:color w:val="0000FF"/>
            <w:u w:val="single"/>
            <w:lang w:eastAsia="fr-FR"/>
          </w:rPr>
          <w:t>Echinococcus granulosus</w:t>
        </w:r>
      </w:hyperlink>
      <w:r w:rsidR="00AA4771" w:rsidRPr="00EF2F1D">
        <w:rPr>
          <w:rFonts w:asciiTheme="majorBidi" w:eastAsia="Times New Roman" w:hAnsiTheme="majorBidi" w:cstheme="majorBidi"/>
          <w:lang w:eastAsia="fr-FR"/>
        </w:rPr>
        <w:t> (ver hydatide), dans les produits frais </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2" w:history="1">
        <w:r w:rsidR="00AA4771" w:rsidRPr="00EF2F1D">
          <w:rPr>
            <w:rFonts w:asciiTheme="majorBidi" w:eastAsia="Times New Roman" w:hAnsiTheme="majorBidi" w:cstheme="majorBidi"/>
            <w:color w:val="0000FF"/>
            <w:u w:val="single"/>
            <w:lang w:eastAsia="fr-FR"/>
          </w:rPr>
          <w:t>Echinococcus multilocularis</w:t>
        </w:r>
      </w:hyperlink>
      <w:r w:rsidR="00AA4771" w:rsidRPr="00EF2F1D">
        <w:rPr>
          <w:rFonts w:asciiTheme="majorBidi" w:eastAsia="Times New Roman" w:hAnsiTheme="majorBidi" w:cstheme="majorBidi"/>
          <w:lang w:eastAsia="fr-FR"/>
        </w:rPr>
        <w:t> (type de ténia), dans les produits frais </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3" w:history="1">
        <w:r w:rsidR="00AA4771" w:rsidRPr="00EF2F1D">
          <w:rPr>
            <w:rFonts w:asciiTheme="majorBidi" w:eastAsia="Times New Roman" w:hAnsiTheme="majorBidi" w:cstheme="majorBidi"/>
            <w:color w:val="0000FF"/>
            <w:u w:val="single"/>
            <w:lang w:eastAsia="fr-FR"/>
          </w:rPr>
          <w:t>Toxoplasma gondii</w:t>
        </w:r>
      </w:hyperlink>
      <w:r w:rsidR="00AA4771" w:rsidRPr="00EF2F1D">
        <w:rPr>
          <w:rFonts w:asciiTheme="majorBidi" w:eastAsia="Times New Roman" w:hAnsiTheme="majorBidi" w:cstheme="majorBidi"/>
          <w:lang w:eastAsia="fr-FR"/>
        </w:rPr>
        <w:t xml:space="preserve"> (protozoaire), dans la viande des petits ruminants, la viande de </w:t>
      </w:r>
      <w:r w:rsidR="00AA4771" w:rsidRPr="00605D3B">
        <w:rPr>
          <w:rFonts w:asciiTheme="majorBidi" w:eastAsia="Times New Roman" w:hAnsiTheme="majorBidi" w:cstheme="majorBidi"/>
          <w:b/>
          <w:bCs/>
          <w:lang w:eastAsia="fr-FR"/>
        </w:rPr>
        <w:t>porc</w:t>
      </w:r>
      <w:r w:rsidR="00AA4771" w:rsidRPr="00EF2F1D">
        <w:rPr>
          <w:rFonts w:asciiTheme="majorBidi" w:eastAsia="Times New Roman" w:hAnsiTheme="majorBidi" w:cstheme="majorBidi"/>
          <w:lang w:eastAsia="fr-FR"/>
        </w:rPr>
        <w:t>, de bœuf, de gibier (viande rouge et organes) </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4" w:history="1">
        <w:r w:rsidR="00AA4771" w:rsidRPr="00EF2F1D">
          <w:rPr>
            <w:rFonts w:asciiTheme="majorBidi" w:eastAsia="Times New Roman" w:hAnsiTheme="majorBidi" w:cstheme="majorBidi"/>
            <w:color w:val="0000FF"/>
            <w:u w:val="single"/>
            <w:lang w:eastAsia="fr-FR"/>
          </w:rPr>
          <w:t>Cryptosporidium spp.</w:t>
        </w:r>
      </w:hyperlink>
      <w:r w:rsidR="00AA4771" w:rsidRPr="00EF2F1D">
        <w:rPr>
          <w:rFonts w:asciiTheme="majorBidi" w:eastAsia="Times New Roman" w:hAnsiTheme="majorBidi" w:cstheme="majorBidi"/>
          <w:lang w:eastAsia="fr-FR"/>
        </w:rPr>
        <w:t xml:space="preserve"> (protozoaire), dans les produits frais, les jus de fruits, le lait </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5" w:history="1">
        <w:r w:rsidR="00AA4771" w:rsidRPr="00EF2F1D">
          <w:rPr>
            <w:rFonts w:asciiTheme="majorBidi" w:eastAsia="Times New Roman" w:hAnsiTheme="majorBidi" w:cstheme="majorBidi"/>
            <w:color w:val="0000FF"/>
            <w:u w:val="single"/>
            <w:lang w:eastAsia="fr-FR"/>
          </w:rPr>
          <w:t>Entamoeba histolytica</w:t>
        </w:r>
      </w:hyperlink>
      <w:r w:rsidR="00AA4771" w:rsidRPr="00EF2F1D">
        <w:rPr>
          <w:rFonts w:asciiTheme="majorBidi" w:eastAsia="Times New Roman" w:hAnsiTheme="majorBidi" w:cstheme="majorBidi"/>
          <w:lang w:eastAsia="fr-FR"/>
        </w:rPr>
        <w:t> (protozoaire), dans les produits frais </w:t>
      </w:r>
    </w:p>
    <w:p w:rsidR="00AA4771" w:rsidRPr="00EF2F1D" w:rsidRDefault="00A97539" w:rsidP="00AA4771">
      <w:pPr>
        <w:numPr>
          <w:ilvl w:val="0"/>
          <w:numId w:val="14"/>
        </w:numPr>
        <w:spacing w:before="100" w:beforeAutospacing="1" w:after="100" w:afterAutospacing="1"/>
        <w:jc w:val="both"/>
        <w:rPr>
          <w:rFonts w:asciiTheme="majorBidi" w:eastAsia="Times New Roman" w:hAnsiTheme="majorBidi" w:cstheme="majorBidi"/>
          <w:lang w:eastAsia="fr-FR"/>
        </w:rPr>
      </w:pPr>
      <w:hyperlink r:id="rId16" w:history="1">
        <w:r w:rsidR="00AA4771" w:rsidRPr="00EF2F1D">
          <w:rPr>
            <w:rFonts w:asciiTheme="majorBidi" w:eastAsia="Times New Roman" w:hAnsiTheme="majorBidi" w:cstheme="majorBidi"/>
            <w:color w:val="0000FF"/>
            <w:u w:val="single"/>
            <w:lang w:eastAsia="fr-FR"/>
          </w:rPr>
          <w:t>Trichinella spiralis</w:t>
        </w:r>
      </w:hyperlink>
      <w:r w:rsidR="00AA4771" w:rsidRPr="00EF2F1D">
        <w:rPr>
          <w:rFonts w:asciiTheme="majorBidi" w:eastAsia="Times New Roman" w:hAnsiTheme="majorBidi" w:cstheme="majorBidi"/>
          <w:lang w:eastAsia="fr-FR"/>
        </w:rPr>
        <w:t xml:space="preserve"> (ténia du porc), dans la viande de </w:t>
      </w:r>
      <w:r w:rsidR="00AA4771" w:rsidRPr="00605D3B">
        <w:rPr>
          <w:rFonts w:asciiTheme="majorBidi" w:eastAsia="Times New Roman" w:hAnsiTheme="majorBidi" w:cstheme="majorBidi"/>
          <w:b/>
          <w:bCs/>
          <w:lang w:eastAsia="fr-FR"/>
        </w:rPr>
        <w:t>porc</w:t>
      </w:r>
    </w:p>
    <w:p w:rsidR="00AA4771" w:rsidRPr="00EF2F1D" w:rsidRDefault="00A97539" w:rsidP="00AA4771">
      <w:pPr>
        <w:numPr>
          <w:ilvl w:val="0"/>
          <w:numId w:val="14"/>
        </w:numPr>
        <w:spacing w:before="100" w:beforeAutospacing="1" w:after="100" w:afterAutospacing="1"/>
        <w:rPr>
          <w:rFonts w:eastAsia="Times New Roman"/>
          <w:lang w:eastAsia="fr-FR"/>
        </w:rPr>
      </w:pPr>
      <w:hyperlink r:id="rId17" w:history="1">
        <w:r w:rsidR="00AA4771" w:rsidRPr="00EF2F1D">
          <w:rPr>
            <w:rFonts w:eastAsia="Times New Roman"/>
            <w:color w:val="0000FF"/>
            <w:u w:val="single"/>
            <w:lang w:eastAsia="fr-FR"/>
          </w:rPr>
          <w:t>Opisthorchiidae</w:t>
        </w:r>
      </w:hyperlink>
      <w:r w:rsidR="00AA4771" w:rsidRPr="00EF2F1D">
        <w:rPr>
          <w:rFonts w:eastAsia="Times New Roman"/>
          <w:lang w:eastAsia="fr-FR"/>
        </w:rPr>
        <w:t> (famille de vers plats), dans le poisson d'eau douce </w:t>
      </w:r>
    </w:p>
    <w:p w:rsidR="00AA4771" w:rsidRPr="00EF2F1D" w:rsidRDefault="00A97539" w:rsidP="00AA4771">
      <w:pPr>
        <w:numPr>
          <w:ilvl w:val="0"/>
          <w:numId w:val="14"/>
        </w:numPr>
        <w:spacing w:before="100" w:beforeAutospacing="1" w:after="100" w:afterAutospacing="1"/>
        <w:rPr>
          <w:rFonts w:eastAsia="Times New Roman"/>
          <w:lang w:eastAsia="fr-FR"/>
        </w:rPr>
      </w:pPr>
      <w:hyperlink r:id="rId18" w:history="1">
        <w:r w:rsidR="00AA4771" w:rsidRPr="00EF2F1D">
          <w:rPr>
            <w:rFonts w:eastAsia="Times New Roman"/>
            <w:color w:val="0000FF"/>
            <w:u w:val="single"/>
            <w:lang w:eastAsia="fr-FR"/>
          </w:rPr>
          <w:t>Ascaris spp.</w:t>
        </w:r>
      </w:hyperlink>
      <w:r w:rsidR="00AA4771" w:rsidRPr="00EF2F1D">
        <w:rPr>
          <w:rFonts w:eastAsia="Times New Roman"/>
          <w:lang w:eastAsia="fr-FR"/>
        </w:rPr>
        <w:t> (petits vers ronds), dans les produits frais </w:t>
      </w:r>
    </w:p>
    <w:p w:rsidR="00AA4771" w:rsidRPr="00EF2F1D" w:rsidRDefault="00A97539" w:rsidP="00AA4771">
      <w:pPr>
        <w:numPr>
          <w:ilvl w:val="0"/>
          <w:numId w:val="14"/>
        </w:numPr>
        <w:spacing w:before="100" w:beforeAutospacing="1" w:after="100" w:afterAutospacing="1"/>
        <w:rPr>
          <w:rFonts w:eastAsia="Times New Roman"/>
          <w:lang w:eastAsia="fr-FR"/>
        </w:rPr>
      </w:pPr>
      <w:hyperlink r:id="rId19" w:history="1">
        <w:r w:rsidR="00AA4771" w:rsidRPr="00EF2F1D">
          <w:rPr>
            <w:rFonts w:eastAsia="Times New Roman"/>
            <w:color w:val="0000FF"/>
            <w:u w:val="single"/>
            <w:lang w:eastAsia="fr-FR"/>
          </w:rPr>
          <w:t>Trypanosoma cruzi</w:t>
        </w:r>
      </w:hyperlink>
      <w:r w:rsidR="00AA4771" w:rsidRPr="00EF2F1D">
        <w:rPr>
          <w:rFonts w:eastAsia="Times New Roman"/>
          <w:lang w:eastAsia="fr-FR"/>
        </w:rPr>
        <w:t> (protozoaire), dans les jus de fruits</w:t>
      </w:r>
    </w:p>
    <w:p w:rsidR="00AA4771" w:rsidRPr="00605D3B" w:rsidRDefault="00AA4771" w:rsidP="00AA4771">
      <w:pPr>
        <w:pStyle w:val="2"/>
        <w:jc w:val="both"/>
        <w:rPr>
          <w:color w:val="0070C0"/>
          <w:sz w:val="24"/>
          <w:szCs w:val="24"/>
          <w:u w:val="single"/>
        </w:rPr>
      </w:pPr>
      <w:r w:rsidRPr="00605D3B">
        <w:rPr>
          <w:color w:val="0070C0"/>
          <w:sz w:val="24"/>
          <w:szCs w:val="24"/>
          <w:u w:val="single"/>
        </w:rPr>
        <w:t>V.3. Les parasites par continent</w:t>
      </w:r>
    </w:p>
    <w:p w:rsidR="00AA4771" w:rsidRPr="00EF2F1D" w:rsidRDefault="00AA4771" w:rsidP="00AA4771">
      <w:pPr>
        <w:pStyle w:val="a3"/>
        <w:jc w:val="both"/>
      </w:pPr>
      <w:r w:rsidRPr="00EF2F1D">
        <w:t>Il est difficile de connaître la diffusion mondiale des parasites, classés biologiquement en protozoaires et helminthes (mais plus connus sous les noms de ténias, vers plats et vers ronds), car de nombreux pays n'imposent aucune obligation de notifier leur présence aux autorités de santé publique.</w:t>
      </w:r>
    </w:p>
    <w:p w:rsidR="00AA4771" w:rsidRDefault="00AA4771" w:rsidP="00AA4771">
      <w:pPr>
        <w:pStyle w:val="a3"/>
        <w:numPr>
          <w:ilvl w:val="0"/>
          <w:numId w:val="18"/>
        </w:numPr>
        <w:jc w:val="both"/>
      </w:pPr>
      <w:r w:rsidRPr="00EF2F1D">
        <w:rPr>
          <w:rStyle w:val="a7"/>
        </w:rPr>
        <w:t>En Europe</w:t>
      </w:r>
      <w:r w:rsidRPr="00EF2F1D">
        <w:t>, plus de 2 500 personnes sont victimes chaque année d'infections parasitaires d'origine alimentaire. En 2011, l'Union européenne comptait 268 cas de trichinellose et 781 cas d'échinococcose.</w:t>
      </w:r>
    </w:p>
    <w:p w:rsidR="00AA4771" w:rsidRDefault="00AA4771" w:rsidP="00AA4771">
      <w:pPr>
        <w:pStyle w:val="a3"/>
        <w:numPr>
          <w:ilvl w:val="0"/>
          <w:numId w:val="18"/>
        </w:numPr>
        <w:jc w:val="both"/>
      </w:pPr>
      <w:r w:rsidRPr="00EF2F1D">
        <w:rPr>
          <w:rStyle w:val="a7"/>
        </w:rPr>
        <w:lastRenderedPageBreak/>
        <w:t>En Asie</w:t>
      </w:r>
      <w:r w:rsidRPr="00EF2F1D">
        <w:t>, il n'existe pas de données précises à l'échelle nationale mais les maladies parasitaires sont largement répandues et reconnues comme un problème majeur de santé publique dans de nombreux pays.</w:t>
      </w:r>
    </w:p>
    <w:p w:rsidR="00AA4771" w:rsidRDefault="00AA4771" w:rsidP="00AA4771">
      <w:pPr>
        <w:pStyle w:val="a3"/>
        <w:numPr>
          <w:ilvl w:val="0"/>
          <w:numId w:val="18"/>
        </w:numPr>
        <w:jc w:val="both"/>
      </w:pPr>
      <w:r w:rsidRPr="00EF2F1D">
        <w:rPr>
          <w:rStyle w:val="a7"/>
        </w:rPr>
        <w:t>La plupart des pays africains</w:t>
      </w:r>
      <w:r w:rsidRPr="00EF2F1D">
        <w:t xml:space="preserve"> ne disposent d'aucune donnée sur la prévalence des parasites d'origine alimentaire chez l'homme en raison d'un manque de systèmes de surveillance.</w:t>
      </w:r>
    </w:p>
    <w:p w:rsidR="00AA4771" w:rsidRPr="00EF2F1D" w:rsidRDefault="00AA4771" w:rsidP="00AA4771">
      <w:pPr>
        <w:pStyle w:val="a3"/>
        <w:numPr>
          <w:ilvl w:val="0"/>
          <w:numId w:val="18"/>
        </w:numPr>
        <w:jc w:val="both"/>
      </w:pPr>
      <w:r w:rsidRPr="00EF2F1D">
        <w:rPr>
          <w:rStyle w:val="a7"/>
        </w:rPr>
        <w:t>Aux Etats-Unis</w:t>
      </w:r>
      <w:r w:rsidRPr="00EF2F1D">
        <w:t>, la neurocysticercose, causée par le Taenia solium, est la cause unique la plus répandue de crises épileptiques dans certaines régions où 2 000 personnes en sont atteintes chaque année. La toxoplasmose est une cause principale de maladies et de décès d'origine alimentaire.</w:t>
      </w:r>
    </w:p>
    <w:p w:rsidR="00AA4771" w:rsidRPr="00605D3B" w:rsidRDefault="00AA4771" w:rsidP="00AA4771">
      <w:pPr>
        <w:spacing w:before="100" w:beforeAutospacing="1" w:after="100" w:afterAutospacing="1"/>
        <w:jc w:val="both"/>
        <w:outlineLvl w:val="1"/>
        <w:rPr>
          <w:rFonts w:eastAsia="Times New Roman"/>
          <w:b/>
          <w:bCs/>
          <w:color w:val="0070C0"/>
          <w:u w:val="single"/>
          <w:lang w:eastAsia="fr-FR"/>
        </w:rPr>
      </w:pPr>
      <w:r w:rsidRPr="00605D3B">
        <w:rPr>
          <w:rFonts w:eastAsia="Times New Roman"/>
          <w:b/>
          <w:bCs/>
          <w:color w:val="0070C0"/>
          <w:u w:val="single"/>
          <w:lang w:eastAsia="fr-FR"/>
        </w:rPr>
        <w:t>V.4. Quelques recommandations pour éviter les parasites alimentaires</w:t>
      </w:r>
    </w:p>
    <w:p w:rsidR="00AA4771" w:rsidRPr="00EF2F1D" w:rsidRDefault="00AA4771" w:rsidP="00AA4771">
      <w:pPr>
        <w:spacing w:before="100" w:beforeAutospacing="1" w:after="100" w:afterAutospacing="1"/>
        <w:jc w:val="both"/>
        <w:rPr>
          <w:rFonts w:eastAsia="Times New Roman"/>
          <w:lang w:eastAsia="fr-FR"/>
        </w:rPr>
      </w:pPr>
      <w:r w:rsidRPr="00EF2F1D">
        <w:rPr>
          <w:rFonts w:eastAsia="Times New Roman"/>
          <w:lang w:eastAsia="fr-FR"/>
        </w:rPr>
        <w:t>Le rapport FAO/OMS énumère un certain nombre de moyens de réduire le risque d'infections dues aux parasites. Il conseille :</w:t>
      </w:r>
    </w:p>
    <w:p w:rsidR="00AA4771" w:rsidRPr="00EF2F1D" w:rsidRDefault="00AA4771" w:rsidP="00AA4771">
      <w:pPr>
        <w:numPr>
          <w:ilvl w:val="0"/>
          <w:numId w:val="15"/>
        </w:numPr>
        <w:spacing w:before="100" w:beforeAutospacing="1" w:after="100" w:afterAutospacing="1"/>
        <w:jc w:val="both"/>
        <w:rPr>
          <w:rFonts w:eastAsia="Times New Roman"/>
          <w:lang w:eastAsia="fr-FR"/>
        </w:rPr>
      </w:pPr>
      <w:r w:rsidRPr="00EF2F1D">
        <w:rPr>
          <w:rFonts w:eastAsia="Times New Roman"/>
          <w:lang w:eastAsia="fr-FR"/>
        </w:rPr>
        <w:t>aux agriculteurs d'utiliser des engrais biologique et de contrôler attentivement leur compostage sans contamination fécale.</w:t>
      </w:r>
    </w:p>
    <w:p w:rsidR="00AA4771" w:rsidRPr="00EF2F1D" w:rsidRDefault="00AA4771" w:rsidP="00AA4771">
      <w:pPr>
        <w:numPr>
          <w:ilvl w:val="0"/>
          <w:numId w:val="15"/>
        </w:numPr>
        <w:spacing w:before="100" w:beforeAutospacing="1" w:after="100" w:afterAutospacing="1"/>
        <w:jc w:val="both"/>
        <w:rPr>
          <w:rFonts w:eastAsia="Times New Roman"/>
          <w:lang w:eastAsia="fr-FR"/>
        </w:rPr>
      </w:pPr>
      <w:r w:rsidRPr="00EF2F1D">
        <w:rPr>
          <w:rFonts w:eastAsia="Times New Roman"/>
          <w:lang w:eastAsia="fr-FR"/>
        </w:rPr>
        <w:t>La qualité de l'eau doit également être surveillée de près.</w:t>
      </w:r>
    </w:p>
    <w:p w:rsidR="00AA4771" w:rsidRPr="00EF2F1D" w:rsidRDefault="00AA4771" w:rsidP="00AA4771">
      <w:pPr>
        <w:numPr>
          <w:ilvl w:val="0"/>
          <w:numId w:val="15"/>
        </w:numPr>
        <w:spacing w:before="100" w:beforeAutospacing="1" w:after="100" w:afterAutospacing="1"/>
        <w:jc w:val="both"/>
        <w:rPr>
          <w:rFonts w:eastAsia="Times New Roman"/>
          <w:lang w:eastAsia="fr-FR"/>
        </w:rPr>
      </w:pPr>
      <w:r w:rsidRPr="00EF2F1D">
        <w:rPr>
          <w:rFonts w:eastAsia="Times New Roman"/>
          <w:lang w:eastAsia="fr-FR"/>
        </w:rPr>
        <w:t>Les consommateurs doivent bien cuire toutes les viandes et de n'utiliser que de l'eau propre pour laver et préparer les légumes.</w:t>
      </w:r>
    </w:p>
    <w:p w:rsidR="00AA4771" w:rsidRPr="005033ED" w:rsidRDefault="00AA4771" w:rsidP="00AA4771">
      <w:pPr>
        <w:spacing w:before="100" w:beforeAutospacing="1" w:after="100" w:afterAutospacing="1"/>
        <w:jc w:val="both"/>
        <w:outlineLvl w:val="1"/>
        <w:rPr>
          <w:rFonts w:eastAsia="Times New Roman"/>
          <w:b/>
          <w:bCs/>
          <w:color w:val="0070C0"/>
          <w:u w:val="single"/>
          <w:lang w:eastAsia="fr-FR"/>
        </w:rPr>
      </w:pPr>
      <w:r w:rsidRPr="005033ED">
        <w:rPr>
          <w:rFonts w:eastAsia="Times New Roman"/>
          <w:b/>
          <w:bCs/>
          <w:color w:val="0070C0"/>
          <w:u w:val="single"/>
          <w:lang w:eastAsia="fr-FR"/>
        </w:rPr>
        <w:t>V.5. Pourquoi cette liste des principaux parasites alimentaires ?</w:t>
      </w:r>
    </w:p>
    <w:p w:rsidR="00AA4771" w:rsidRDefault="00AA4771" w:rsidP="00AA4771">
      <w:pPr>
        <w:pStyle w:val="a6"/>
        <w:numPr>
          <w:ilvl w:val="0"/>
          <w:numId w:val="19"/>
        </w:numPr>
        <w:spacing w:before="100" w:beforeAutospacing="1" w:after="100" w:afterAutospacing="1"/>
        <w:jc w:val="both"/>
        <w:rPr>
          <w:rFonts w:eastAsia="Times New Roman"/>
          <w:lang w:eastAsia="fr-FR"/>
        </w:rPr>
      </w:pPr>
      <w:r w:rsidRPr="005033ED">
        <w:rPr>
          <w:rFonts w:eastAsia="Times New Roman"/>
          <w:lang w:eastAsia="fr-FR"/>
        </w:rPr>
        <w:t xml:space="preserve">La liste et le rapport ont été rédigés suite à une requête émise par la Commission du Codex Alimentarius (Codex), organe mondial des normes alimentaires, demandant à la FAO et à l'OMS d'examiner l'état actuel des connaissances sur les parasites présents dans les aliments et leurs impacts sur la santé publique et le commerce. </w:t>
      </w:r>
    </w:p>
    <w:p w:rsidR="00AA4771" w:rsidRDefault="00AA4771" w:rsidP="00AA4771">
      <w:pPr>
        <w:pStyle w:val="a6"/>
        <w:numPr>
          <w:ilvl w:val="0"/>
          <w:numId w:val="19"/>
        </w:numPr>
        <w:spacing w:before="100" w:beforeAutospacing="1" w:after="100" w:afterAutospacing="1"/>
        <w:jc w:val="both"/>
        <w:rPr>
          <w:rFonts w:eastAsia="Times New Roman"/>
          <w:lang w:eastAsia="fr-FR"/>
        </w:rPr>
      </w:pPr>
      <w:r w:rsidRPr="005033ED">
        <w:rPr>
          <w:rFonts w:eastAsia="Times New Roman"/>
          <w:lang w:eastAsia="fr-FR"/>
        </w:rPr>
        <w:t xml:space="preserve">Le Service de la sécurité sanitaire et de la qualité des aliments de la FAO et l'OMS sont intervenus en organisant conjointement un appel mondial à l'information, auquel ont répondu 22 nations et un organe régional, qui a été suivi d'une évaluation et d'une analyse réalisée par 21 experts sur l'impact des parasites d'origine alimentaire. </w:t>
      </w:r>
    </w:p>
    <w:p w:rsidR="00AA4771" w:rsidRPr="005033ED" w:rsidRDefault="00AA4771" w:rsidP="00AA4771">
      <w:pPr>
        <w:pStyle w:val="a6"/>
        <w:numPr>
          <w:ilvl w:val="0"/>
          <w:numId w:val="19"/>
        </w:numPr>
        <w:spacing w:before="100" w:beforeAutospacing="1" w:after="100" w:afterAutospacing="1"/>
        <w:jc w:val="both"/>
        <w:rPr>
          <w:rFonts w:eastAsia="Times New Roman"/>
          <w:lang w:eastAsia="fr-FR"/>
        </w:rPr>
      </w:pPr>
      <w:r w:rsidRPr="005033ED">
        <w:rPr>
          <w:rFonts w:eastAsia="Times New Roman"/>
          <w:lang w:eastAsia="fr-FR"/>
        </w:rPr>
        <w:t>A partir de ces travaux, une liste initiale de 93 parasites a été élaborée avant d'être restreinte aux 24 parasites les plus nuisibles, sur la base des critères suivants :</w:t>
      </w:r>
    </w:p>
    <w:p w:rsidR="00AA4771" w:rsidRPr="00EF2F1D" w:rsidRDefault="00AA4771" w:rsidP="00AA4771">
      <w:pPr>
        <w:numPr>
          <w:ilvl w:val="0"/>
          <w:numId w:val="16"/>
        </w:numPr>
        <w:spacing w:before="100" w:beforeAutospacing="1" w:after="100" w:afterAutospacing="1"/>
        <w:jc w:val="both"/>
        <w:rPr>
          <w:rFonts w:eastAsia="Times New Roman"/>
          <w:lang w:eastAsia="fr-FR"/>
        </w:rPr>
      </w:pPr>
      <w:r w:rsidRPr="00EF2F1D">
        <w:rPr>
          <w:rFonts w:eastAsia="Times New Roman"/>
          <w:lang w:eastAsia="fr-FR"/>
        </w:rPr>
        <w:t>nombre de maladies mondiales,</w:t>
      </w:r>
    </w:p>
    <w:p w:rsidR="00AA4771" w:rsidRPr="00EF2F1D" w:rsidRDefault="00AA4771" w:rsidP="00AA4771">
      <w:pPr>
        <w:numPr>
          <w:ilvl w:val="0"/>
          <w:numId w:val="16"/>
        </w:numPr>
        <w:spacing w:before="100" w:beforeAutospacing="1" w:after="100" w:afterAutospacing="1"/>
        <w:jc w:val="both"/>
        <w:rPr>
          <w:rFonts w:eastAsia="Times New Roman"/>
          <w:lang w:eastAsia="fr-FR"/>
        </w:rPr>
      </w:pPr>
      <w:r w:rsidRPr="00EF2F1D">
        <w:rPr>
          <w:rFonts w:eastAsia="Times New Roman"/>
          <w:lang w:eastAsia="fr-FR"/>
        </w:rPr>
        <w:t>répartition mondiale,</w:t>
      </w:r>
    </w:p>
    <w:p w:rsidR="00AA4771" w:rsidRPr="00EF2F1D" w:rsidRDefault="00AA4771" w:rsidP="00AA4771">
      <w:pPr>
        <w:numPr>
          <w:ilvl w:val="0"/>
          <w:numId w:val="16"/>
        </w:numPr>
        <w:spacing w:before="100" w:beforeAutospacing="1" w:after="100" w:afterAutospacing="1"/>
        <w:jc w:val="both"/>
        <w:rPr>
          <w:rFonts w:eastAsia="Times New Roman"/>
          <w:lang w:eastAsia="fr-FR"/>
        </w:rPr>
      </w:pPr>
      <w:r w:rsidRPr="00EF2F1D">
        <w:rPr>
          <w:rFonts w:eastAsia="Times New Roman"/>
          <w:lang w:eastAsia="fr-FR"/>
        </w:rPr>
        <w:t>morbidité aiguë,</w:t>
      </w:r>
    </w:p>
    <w:p w:rsidR="00AA4771" w:rsidRPr="00EF2F1D" w:rsidRDefault="00AA4771" w:rsidP="00AA4771">
      <w:pPr>
        <w:numPr>
          <w:ilvl w:val="0"/>
          <w:numId w:val="16"/>
        </w:numPr>
        <w:spacing w:before="100" w:beforeAutospacing="1" w:after="100" w:afterAutospacing="1"/>
        <w:jc w:val="both"/>
        <w:rPr>
          <w:rFonts w:eastAsia="Times New Roman"/>
          <w:lang w:eastAsia="fr-FR"/>
        </w:rPr>
      </w:pPr>
      <w:r w:rsidRPr="00EF2F1D">
        <w:rPr>
          <w:rFonts w:eastAsia="Times New Roman"/>
          <w:lang w:eastAsia="fr-FR"/>
        </w:rPr>
        <w:t>morbidité chronique,</w:t>
      </w:r>
    </w:p>
    <w:p w:rsidR="00AA4771" w:rsidRPr="00EF2F1D" w:rsidRDefault="00AA4771" w:rsidP="00AA4771">
      <w:pPr>
        <w:numPr>
          <w:ilvl w:val="0"/>
          <w:numId w:val="16"/>
        </w:numPr>
        <w:spacing w:before="100" w:beforeAutospacing="1" w:after="100" w:afterAutospacing="1"/>
        <w:jc w:val="both"/>
        <w:rPr>
          <w:rFonts w:eastAsia="Times New Roman"/>
          <w:lang w:eastAsia="fr-FR"/>
        </w:rPr>
      </w:pPr>
      <w:r w:rsidRPr="00EF2F1D">
        <w:rPr>
          <w:rFonts w:eastAsia="Times New Roman"/>
          <w:lang w:eastAsia="fr-FR"/>
        </w:rPr>
        <w:t>impact économique.</w:t>
      </w:r>
    </w:p>
    <w:p w:rsidR="00AA4771" w:rsidRDefault="00AA4771" w:rsidP="00AA4771">
      <w:pPr>
        <w:pStyle w:val="a6"/>
        <w:numPr>
          <w:ilvl w:val="0"/>
          <w:numId w:val="20"/>
        </w:numPr>
        <w:spacing w:before="100" w:beforeAutospacing="1" w:after="100" w:afterAutospacing="1"/>
        <w:jc w:val="both"/>
        <w:rPr>
          <w:rFonts w:eastAsia="Times New Roman"/>
          <w:lang w:eastAsia="fr-FR"/>
        </w:rPr>
      </w:pPr>
      <w:r w:rsidRPr="005033ED">
        <w:rPr>
          <w:rFonts w:eastAsia="Times New Roman"/>
          <w:lang w:eastAsia="fr-FR"/>
        </w:rPr>
        <w:t>Le Comité du Codex sur l'hygiène alimentaire est désormais en train d'élaborer de nouvelles directives pour lutter contre ces parasites. La FAO et l'OMS soutiennent ce processus en dispensant des conseils scientifiques et techniques.</w:t>
      </w:r>
    </w:p>
    <w:p w:rsidR="00AA4771" w:rsidRDefault="00AA4771" w:rsidP="00AA4771">
      <w:pPr>
        <w:pStyle w:val="a6"/>
        <w:numPr>
          <w:ilvl w:val="0"/>
          <w:numId w:val="20"/>
        </w:numPr>
        <w:spacing w:before="100" w:beforeAutospacing="1" w:after="100" w:afterAutospacing="1"/>
        <w:jc w:val="both"/>
        <w:rPr>
          <w:rFonts w:eastAsia="Times New Roman"/>
          <w:lang w:eastAsia="fr-FR"/>
        </w:rPr>
      </w:pPr>
      <w:r w:rsidRPr="005033ED">
        <w:rPr>
          <w:rFonts w:eastAsia="Times New Roman"/>
          <w:lang w:eastAsia="fr-FR"/>
        </w:rPr>
        <w:t>Le but est d'élaborer de nouvelles normes pour le commerce alimentaire mondial permettant d'aider les pays à contrôler la présence de ces parasites dans la chaîne alimentaire.</w:t>
      </w:r>
    </w:p>
    <w:p w:rsidR="00AA4771" w:rsidRPr="00AA4771" w:rsidRDefault="00AA4771" w:rsidP="00AA4771">
      <w:pPr>
        <w:pStyle w:val="a6"/>
        <w:numPr>
          <w:ilvl w:val="0"/>
          <w:numId w:val="20"/>
        </w:numPr>
        <w:spacing w:before="100" w:beforeAutospacing="1" w:after="100" w:afterAutospacing="1"/>
        <w:jc w:val="both"/>
        <w:rPr>
          <w:rFonts w:eastAsia="Times New Roman"/>
          <w:lang w:eastAsia="fr-FR"/>
        </w:rPr>
      </w:pPr>
      <w:r w:rsidRPr="005033ED">
        <w:rPr>
          <w:rFonts w:eastAsia="Times New Roman"/>
          <w:lang w:eastAsia="fr-FR"/>
        </w:rPr>
        <w:t xml:space="preserve">"Naturellement, il s'agit d'une perspective mondiale plus générale et la liste ne reflète pas nécessairement les classements des parasites au niveau national où chaque pays </w:t>
      </w:r>
      <w:r w:rsidRPr="005033ED">
        <w:rPr>
          <w:rFonts w:eastAsia="Times New Roman"/>
          <w:lang w:eastAsia="fr-FR"/>
        </w:rPr>
        <w:lastRenderedPageBreak/>
        <w:t xml:space="preserve">peut disposer d'informations plus précises", a déclaré Mme Renata Clarke, responsable de la sécurité sanitaire et de la qualité des aliments à la FAO. "Cependant, au vu des problèmes qu'ils causent, ces parasites ne reçoivent pas l'attention qu'ils méritent. Nous espérons que la publication de cette liste permettra de sensibiliser davantage les responsables politiques, les médias et le grand </w:t>
      </w:r>
      <w:r w:rsidRPr="00AA4771">
        <w:rPr>
          <w:rFonts w:eastAsia="Times New Roman"/>
          <w:lang w:eastAsia="fr-FR"/>
        </w:rPr>
        <w:t>public</w:t>
      </w:r>
      <w:r w:rsidRPr="00AA4771">
        <w:rPr>
          <w:rFonts w:eastAsia="Times New Roman"/>
          <w:i/>
          <w:iCs/>
          <w:lang w:eastAsia="fr-FR"/>
        </w:rPr>
        <w:t xml:space="preserve"> </w:t>
      </w:r>
      <w:r w:rsidRPr="00AA4771">
        <w:rPr>
          <w:rStyle w:val="a8"/>
          <w:i w:val="0"/>
          <w:iCs w:val="0"/>
        </w:rPr>
        <w:t>sur cet important problème de santé publique</w:t>
      </w:r>
      <w:r w:rsidRPr="00AA4771">
        <w:t>", a-t-elle ajouté.</w:t>
      </w:r>
    </w:p>
    <w:p w:rsidR="00AA4771" w:rsidRPr="00EF2F1D" w:rsidRDefault="00AA4771" w:rsidP="00AA4771">
      <w:pPr>
        <w:pStyle w:val="a3"/>
        <w:jc w:val="both"/>
      </w:pPr>
    </w:p>
    <w:p w:rsidR="00AA4771" w:rsidRPr="00EF2F1D" w:rsidRDefault="00AA4771" w:rsidP="00AA4771">
      <w:pPr>
        <w:jc w:val="both"/>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F577C3" w:rsidRDefault="00F577C3" w:rsidP="0041591C">
      <w:pPr>
        <w:rPr>
          <w:rFonts w:asciiTheme="majorBidi" w:eastAsia="Times New Roman" w:hAnsiTheme="majorBidi" w:cstheme="majorBidi"/>
          <w:b/>
          <w:bCs/>
          <w:color w:val="FF0000"/>
          <w:sz w:val="28"/>
          <w:szCs w:val="28"/>
        </w:rPr>
      </w:pPr>
    </w:p>
    <w:p w:rsidR="00AA4771" w:rsidRDefault="00AA4771" w:rsidP="0041591C">
      <w:pPr>
        <w:rPr>
          <w:rFonts w:asciiTheme="majorBidi" w:eastAsia="Times New Roman" w:hAnsiTheme="majorBidi" w:cstheme="majorBidi"/>
          <w:b/>
          <w:bCs/>
          <w:color w:val="FF0000"/>
          <w:sz w:val="28"/>
          <w:szCs w:val="28"/>
        </w:rPr>
      </w:pPr>
    </w:p>
    <w:p w:rsidR="00F95A7B" w:rsidRPr="0041591C" w:rsidRDefault="00F95A7B" w:rsidP="00F577C3">
      <w:pPr>
        <w:jc w:val="center"/>
        <w:rPr>
          <w:rFonts w:asciiTheme="majorBidi" w:eastAsia="Times New Roman" w:hAnsiTheme="majorBidi" w:cstheme="majorBidi"/>
          <w:b/>
          <w:bCs/>
          <w:color w:val="FF0000"/>
          <w:sz w:val="28"/>
          <w:szCs w:val="28"/>
        </w:rPr>
      </w:pPr>
      <w:r w:rsidRPr="0041591C">
        <w:rPr>
          <w:rFonts w:asciiTheme="majorBidi" w:eastAsia="Times New Roman" w:hAnsiTheme="majorBidi" w:cstheme="majorBidi"/>
          <w:b/>
          <w:bCs/>
          <w:color w:val="FF0000"/>
          <w:sz w:val="28"/>
          <w:szCs w:val="28"/>
        </w:rPr>
        <w:lastRenderedPageBreak/>
        <w:t>VI. LES virus en agroalimentaire</w:t>
      </w:r>
    </w:p>
    <w:p w:rsidR="0035143E" w:rsidRPr="00F95A7B" w:rsidRDefault="0041591C" w:rsidP="0041591C">
      <w:pPr>
        <w:spacing w:before="100" w:beforeAutospacing="1" w:after="100" w:afterAutospacing="1"/>
        <w:outlineLvl w:val="0"/>
        <w:rPr>
          <w:rFonts w:eastAsia="Times New Roman"/>
          <w:b/>
          <w:bCs/>
          <w:color w:val="0070C0"/>
          <w:kern w:val="36"/>
          <w:u w:val="single"/>
          <w:lang w:eastAsia="fr-FR"/>
        </w:rPr>
      </w:pPr>
      <w:r>
        <w:rPr>
          <w:rFonts w:eastAsia="Times New Roman"/>
          <w:b/>
          <w:bCs/>
          <w:color w:val="0070C0"/>
          <w:kern w:val="36"/>
          <w:u w:val="single"/>
          <w:lang w:eastAsia="fr-FR"/>
        </w:rPr>
        <w:t xml:space="preserve">VI.1. </w:t>
      </w:r>
      <w:r w:rsidR="0035143E" w:rsidRPr="00F95A7B">
        <w:rPr>
          <w:rFonts w:eastAsia="Times New Roman"/>
          <w:b/>
          <w:bCs/>
          <w:color w:val="0070C0"/>
          <w:kern w:val="36"/>
          <w:u w:val="single"/>
          <w:lang w:eastAsia="fr-FR"/>
        </w:rPr>
        <w:t>Les maladies virales d’origine alimentaire</w:t>
      </w:r>
    </w:p>
    <w:p w:rsidR="0035143E" w:rsidRPr="00F95A7B" w:rsidRDefault="0035143E" w:rsidP="0035143E">
      <w:pPr>
        <w:spacing w:before="100" w:beforeAutospacing="1" w:after="100" w:afterAutospacing="1"/>
        <w:jc w:val="both"/>
        <w:rPr>
          <w:rFonts w:eastAsia="Times New Roman"/>
          <w:lang w:eastAsia="fr-FR"/>
        </w:rPr>
      </w:pPr>
      <w:r w:rsidRPr="00F95A7B">
        <w:rPr>
          <w:rFonts w:eastAsia="Times New Roman"/>
          <w:lang w:eastAsia="fr-FR"/>
        </w:rPr>
        <w:t>Les maladies virales d’origine alimentaire trouvent leur source dans toutes sortes de virus susceptibles de contaminer les aliments à tous les niveaux de la chaîne d’approvisionnement.</w:t>
      </w:r>
    </w:p>
    <w:p w:rsidR="0035143E" w:rsidRPr="00F95A7B" w:rsidRDefault="0035143E" w:rsidP="00F95A7B">
      <w:pPr>
        <w:spacing w:before="100" w:beforeAutospacing="1" w:after="100" w:afterAutospacing="1"/>
        <w:jc w:val="both"/>
        <w:rPr>
          <w:rFonts w:eastAsia="Times New Roman"/>
          <w:lang w:eastAsia="fr-FR"/>
        </w:rPr>
      </w:pPr>
      <w:r w:rsidRPr="00F95A7B">
        <w:rPr>
          <w:rFonts w:eastAsia="Times New Roman"/>
          <w:lang w:eastAsia="fr-FR"/>
        </w:rPr>
        <w:t xml:space="preserve">Les maladies d’origine alimentaire (c.-à-d. les maladies provoquées par la consommation d’aliments contaminés) représentent à l’échelle mondiale un fardeau de plus en plus pesant pour la santé publique. Il est apparu qu’une part significative des toxi-infections alimentaires est d’origine virale. </w:t>
      </w:r>
    </w:p>
    <w:p w:rsidR="0035143E" w:rsidRPr="0041591C" w:rsidRDefault="0041591C" w:rsidP="0041591C">
      <w:pPr>
        <w:spacing w:before="100" w:beforeAutospacing="1" w:after="100" w:afterAutospacing="1"/>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VI.2. </w:t>
      </w:r>
      <w:r w:rsidR="0035143E" w:rsidRPr="0041591C">
        <w:rPr>
          <w:rFonts w:eastAsia="Times New Roman"/>
          <w:b/>
          <w:bCs/>
          <w:color w:val="0070C0"/>
          <w:u w:val="single"/>
          <w:lang w:eastAsia="fr-FR"/>
        </w:rPr>
        <w:t>Qu’est-ce qu’un virus?</w:t>
      </w:r>
    </w:p>
    <w:p w:rsidR="0035143E" w:rsidRPr="00F95A7B" w:rsidRDefault="0035143E" w:rsidP="00F95A7B">
      <w:pPr>
        <w:pStyle w:val="a6"/>
        <w:numPr>
          <w:ilvl w:val="0"/>
          <w:numId w:val="12"/>
        </w:numPr>
        <w:spacing w:before="100" w:beforeAutospacing="1" w:after="100" w:afterAutospacing="1"/>
        <w:jc w:val="both"/>
        <w:rPr>
          <w:rFonts w:eastAsia="Times New Roman"/>
          <w:lang w:eastAsia="fr-FR"/>
        </w:rPr>
      </w:pPr>
      <w:r w:rsidRPr="00F95A7B">
        <w:rPr>
          <w:rFonts w:eastAsia="Times New Roman"/>
          <w:lang w:eastAsia="fr-FR"/>
        </w:rPr>
        <w:t xml:space="preserve">Les virus sont des micro-organismes infectieux de très petite taille (c.-à-d. en moyenne d’une taille cent fois inférieure à celle de la plupart des bactéries) constitués d’un génome d’ADN ou d’ARN entouré d’une capsule protéinique. </w:t>
      </w:r>
    </w:p>
    <w:p w:rsidR="0035143E" w:rsidRPr="00F95A7B" w:rsidRDefault="0035143E" w:rsidP="00F95A7B">
      <w:pPr>
        <w:pStyle w:val="a6"/>
        <w:numPr>
          <w:ilvl w:val="0"/>
          <w:numId w:val="12"/>
        </w:numPr>
        <w:spacing w:before="100" w:beforeAutospacing="1" w:after="100" w:afterAutospacing="1"/>
        <w:jc w:val="both"/>
        <w:rPr>
          <w:rFonts w:eastAsia="Times New Roman"/>
          <w:lang w:eastAsia="fr-FR"/>
        </w:rPr>
      </w:pPr>
      <w:r w:rsidRPr="00F95A7B">
        <w:rPr>
          <w:rFonts w:eastAsia="Times New Roman"/>
          <w:lang w:eastAsia="fr-FR"/>
        </w:rPr>
        <w:t xml:space="preserve">À la différence des bactéries, les virus ne peuvent se reproduire qu’à l’intérieur de cellules vivantes d’autres organismes. </w:t>
      </w:r>
    </w:p>
    <w:p w:rsidR="0035143E" w:rsidRPr="00F95A7B" w:rsidRDefault="0035143E" w:rsidP="00F95A7B">
      <w:pPr>
        <w:pStyle w:val="a6"/>
        <w:numPr>
          <w:ilvl w:val="0"/>
          <w:numId w:val="12"/>
        </w:numPr>
        <w:spacing w:before="100" w:beforeAutospacing="1" w:after="100" w:afterAutospacing="1"/>
        <w:jc w:val="both"/>
        <w:rPr>
          <w:rFonts w:eastAsia="Times New Roman"/>
          <w:lang w:eastAsia="fr-FR"/>
        </w:rPr>
      </w:pPr>
      <w:r w:rsidRPr="00F95A7B">
        <w:rPr>
          <w:rFonts w:eastAsia="Times New Roman"/>
          <w:lang w:eastAsia="fr-FR"/>
        </w:rPr>
        <w:t xml:space="preserve">Cependant, de nombreux virus font preuve d’une très grande résistance quand ils sont soumis à des conditions difficiles comme la chaleur, la congélation, l’exposition aux UV et autres, et sont capables de survivre pendant de longues périodes dans les aliments ou dans l’environnement. </w:t>
      </w:r>
    </w:p>
    <w:p w:rsidR="0035143E" w:rsidRPr="00F95A7B" w:rsidRDefault="0035143E" w:rsidP="00F95A7B">
      <w:pPr>
        <w:pStyle w:val="a6"/>
        <w:numPr>
          <w:ilvl w:val="0"/>
          <w:numId w:val="12"/>
        </w:numPr>
        <w:spacing w:before="100" w:beforeAutospacing="1" w:after="100" w:afterAutospacing="1"/>
        <w:jc w:val="both"/>
        <w:rPr>
          <w:rFonts w:eastAsia="Times New Roman"/>
          <w:lang w:eastAsia="fr-FR"/>
        </w:rPr>
      </w:pPr>
      <w:r w:rsidRPr="00F95A7B">
        <w:rPr>
          <w:rFonts w:eastAsia="Times New Roman"/>
          <w:lang w:eastAsia="fr-FR"/>
        </w:rPr>
        <w:t>La majorité des infections virales sont transmises par contact humain, le risque de contamination via les aliments constituant un risque mineur dans le contexte global.</w:t>
      </w:r>
    </w:p>
    <w:p w:rsidR="0035143E" w:rsidRPr="0041591C" w:rsidRDefault="0041591C" w:rsidP="0041591C">
      <w:pPr>
        <w:spacing w:before="100" w:beforeAutospacing="1" w:after="100" w:afterAutospacing="1"/>
        <w:jc w:val="both"/>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VI.3. </w:t>
      </w:r>
      <w:r w:rsidR="0035143E" w:rsidRPr="0041591C">
        <w:rPr>
          <w:rFonts w:eastAsia="Times New Roman"/>
          <w:b/>
          <w:bCs/>
          <w:color w:val="0070C0"/>
          <w:u w:val="single"/>
          <w:lang w:eastAsia="fr-FR"/>
        </w:rPr>
        <w:t>Quels virus sont le plus souvent à l’origine d’une intoxication alimentaire?</w:t>
      </w:r>
    </w:p>
    <w:p w:rsidR="0035143E" w:rsidRPr="00F95A7B" w:rsidRDefault="0035143E" w:rsidP="00F95A7B">
      <w:pPr>
        <w:spacing w:before="100" w:beforeAutospacing="1" w:after="100" w:afterAutospacing="1"/>
        <w:jc w:val="both"/>
        <w:rPr>
          <w:rFonts w:eastAsia="Times New Roman"/>
          <w:lang w:eastAsia="fr-FR"/>
        </w:rPr>
      </w:pPr>
      <w:r w:rsidRPr="00F95A7B">
        <w:rPr>
          <w:rFonts w:eastAsia="Times New Roman"/>
          <w:lang w:eastAsia="fr-FR"/>
        </w:rPr>
        <w:t>La majorité des maladies alimentaires d’origine virale sont souvent causées par un nombre restreint de virus, au nombre desquels:</w:t>
      </w:r>
    </w:p>
    <w:p w:rsidR="0035143E" w:rsidRPr="00F95A7B" w:rsidRDefault="0035143E" w:rsidP="00F95A7B">
      <w:pPr>
        <w:numPr>
          <w:ilvl w:val="0"/>
          <w:numId w:val="2"/>
        </w:numPr>
        <w:spacing w:before="100" w:beforeAutospacing="1" w:after="100" w:afterAutospacing="1"/>
        <w:jc w:val="both"/>
        <w:rPr>
          <w:rFonts w:eastAsia="Times New Roman"/>
          <w:lang w:eastAsia="fr-FR"/>
        </w:rPr>
      </w:pPr>
      <w:r w:rsidRPr="00F95A7B">
        <w:rPr>
          <w:rFonts w:eastAsia="Times New Roman"/>
          <w:b/>
          <w:bCs/>
          <w:lang w:eastAsia="fr-FR"/>
        </w:rPr>
        <w:t>les norovirus</w:t>
      </w:r>
      <w:r w:rsidRPr="00F95A7B">
        <w:rPr>
          <w:rFonts w:eastAsia="Times New Roman"/>
          <w:lang w:eastAsia="fr-FR"/>
        </w:rPr>
        <w:t xml:space="preserve"> (ils sont à l’origine de la gastro-entérite, qui est l’infection virale d’origine alimentaire la plus courante et qui se caractérise par des diarrhées, des vomissements et des douleurs abdominales) ;</w:t>
      </w:r>
    </w:p>
    <w:p w:rsidR="0035143E" w:rsidRPr="00F95A7B" w:rsidRDefault="0035143E" w:rsidP="00F95A7B">
      <w:pPr>
        <w:numPr>
          <w:ilvl w:val="0"/>
          <w:numId w:val="2"/>
        </w:numPr>
        <w:spacing w:before="100" w:beforeAutospacing="1" w:after="100" w:afterAutospacing="1"/>
        <w:jc w:val="both"/>
        <w:rPr>
          <w:rFonts w:eastAsia="Times New Roman"/>
          <w:lang w:eastAsia="fr-FR"/>
        </w:rPr>
      </w:pPr>
      <w:r w:rsidRPr="00F95A7B">
        <w:rPr>
          <w:rFonts w:eastAsia="Times New Roman"/>
          <w:b/>
          <w:bCs/>
          <w:lang w:eastAsia="fr-FR"/>
        </w:rPr>
        <w:t>l’hépatite A et l’hépatite E</w:t>
      </w:r>
      <w:r w:rsidRPr="00F95A7B">
        <w:rPr>
          <w:rFonts w:eastAsia="Times New Roman"/>
          <w:lang w:eastAsia="fr-FR"/>
        </w:rPr>
        <w:t xml:space="preserve"> (qui provoquent une inflammation du foie);</w:t>
      </w:r>
    </w:p>
    <w:p w:rsidR="0035143E" w:rsidRPr="00F95A7B" w:rsidRDefault="0035143E" w:rsidP="00F95A7B">
      <w:pPr>
        <w:numPr>
          <w:ilvl w:val="0"/>
          <w:numId w:val="2"/>
        </w:numPr>
        <w:spacing w:before="100" w:beforeAutospacing="1" w:after="100" w:afterAutospacing="1"/>
        <w:jc w:val="both"/>
        <w:rPr>
          <w:rFonts w:eastAsia="Times New Roman"/>
          <w:lang w:eastAsia="fr-FR"/>
        </w:rPr>
      </w:pPr>
      <w:r w:rsidRPr="00F95A7B">
        <w:rPr>
          <w:rFonts w:eastAsia="Times New Roman"/>
          <w:b/>
          <w:bCs/>
          <w:lang w:eastAsia="fr-FR"/>
        </w:rPr>
        <w:t>les rotavirus</w:t>
      </w:r>
      <w:r w:rsidRPr="00F95A7B">
        <w:rPr>
          <w:rFonts w:eastAsia="Times New Roman"/>
          <w:lang w:eastAsia="fr-FR"/>
        </w:rPr>
        <w:t xml:space="preserve"> (particulièrement associés à la gastro-entérite infantile)</w:t>
      </w:r>
      <w:r w:rsidRPr="00F95A7B">
        <w:rPr>
          <w:rFonts w:eastAsia="Times New Roman"/>
          <w:vertAlign w:val="superscript"/>
          <w:lang w:eastAsia="fr-FR"/>
        </w:rPr>
        <w:t>.</w:t>
      </w:r>
    </w:p>
    <w:p w:rsidR="0035143E" w:rsidRPr="0041591C" w:rsidRDefault="0041591C" w:rsidP="0041591C">
      <w:pPr>
        <w:spacing w:before="100" w:beforeAutospacing="1" w:after="100" w:afterAutospacing="1"/>
        <w:jc w:val="both"/>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VI.4. </w:t>
      </w:r>
      <w:r w:rsidR="0035143E" w:rsidRPr="0041591C">
        <w:rPr>
          <w:rFonts w:eastAsia="Times New Roman"/>
          <w:b/>
          <w:bCs/>
          <w:color w:val="0070C0"/>
          <w:u w:val="single"/>
          <w:lang w:eastAsia="fr-FR"/>
        </w:rPr>
        <w:t>Comment les virus d’origine alimentaire se propagent-ils?</w:t>
      </w:r>
    </w:p>
    <w:p w:rsidR="0035143E" w:rsidRPr="00F95A7B" w:rsidRDefault="0035143E" w:rsidP="00F95A7B">
      <w:pPr>
        <w:spacing w:before="100" w:beforeAutospacing="1" w:after="100" w:afterAutospacing="1"/>
        <w:jc w:val="both"/>
        <w:rPr>
          <w:rFonts w:eastAsia="Times New Roman"/>
          <w:lang w:eastAsia="fr-FR"/>
        </w:rPr>
      </w:pPr>
      <w:r w:rsidRPr="00F95A7B">
        <w:rPr>
          <w:rFonts w:eastAsia="Times New Roman"/>
          <w:lang w:eastAsia="fr-FR"/>
        </w:rPr>
        <w:t>Tous les virus d’origine alimentaire proviennent des intestins des hommes et des animaux. De ce fait, ils sont souvent véhiculés par les fèces ou autres fluides corporels. Comme les virus ne se reproduisent pas dans les aliments, la propagation des virus via les aliments a trois causes majeures:</w:t>
      </w:r>
    </w:p>
    <w:p w:rsidR="0035143E" w:rsidRPr="00F95A7B" w:rsidRDefault="0035143E" w:rsidP="00F95A7B">
      <w:pPr>
        <w:numPr>
          <w:ilvl w:val="0"/>
          <w:numId w:val="3"/>
        </w:numPr>
        <w:spacing w:before="100" w:beforeAutospacing="1" w:after="100" w:afterAutospacing="1"/>
        <w:jc w:val="both"/>
        <w:rPr>
          <w:rFonts w:eastAsia="Times New Roman"/>
          <w:lang w:eastAsia="fr-FR"/>
        </w:rPr>
      </w:pPr>
      <w:r w:rsidRPr="00F95A7B">
        <w:rPr>
          <w:rFonts w:eastAsia="Times New Roman"/>
          <w:lang w:eastAsia="fr-FR"/>
        </w:rPr>
        <w:t>la manipulation des aliments sans respecter une hygiène suffisante;</w:t>
      </w:r>
    </w:p>
    <w:p w:rsidR="0035143E" w:rsidRPr="00F95A7B" w:rsidRDefault="0035143E" w:rsidP="00F95A7B">
      <w:pPr>
        <w:numPr>
          <w:ilvl w:val="0"/>
          <w:numId w:val="3"/>
        </w:numPr>
        <w:spacing w:before="100" w:beforeAutospacing="1" w:after="100" w:afterAutospacing="1"/>
        <w:jc w:val="both"/>
        <w:rPr>
          <w:rFonts w:eastAsia="Times New Roman"/>
          <w:lang w:eastAsia="fr-FR"/>
        </w:rPr>
      </w:pPr>
      <w:r w:rsidRPr="00F95A7B">
        <w:rPr>
          <w:rFonts w:eastAsia="Times New Roman"/>
          <w:lang w:eastAsia="fr-FR"/>
        </w:rPr>
        <w:t>le contact des aliments avec des déjections animales, les effluents humains ou les eaux d’égout;</w:t>
      </w:r>
    </w:p>
    <w:p w:rsidR="0035143E" w:rsidRPr="00F95A7B" w:rsidRDefault="0035143E" w:rsidP="00F95A7B">
      <w:pPr>
        <w:numPr>
          <w:ilvl w:val="0"/>
          <w:numId w:val="3"/>
        </w:numPr>
        <w:spacing w:before="100" w:beforeAutospacing="1" w:after="100" w:afterAutospacing="1"/>
        <w:jc w:val="both"/>
        <w:rPr>
          <w:rFonts w:eastAsia="Times New Roman"/>
          <w:lang w:eastAsia="fr-FR"/>
        </w:rPr>
      </w:pPr>
      <w:r w:rsidRPr="00F95A7B">
        <w:rPr>
          <w:rFonts w:eastAsia="Times New Roman"/>
          <w:lang w:eastAsia="fr-FR"/>
        </w:rPr>
        <w:t>la consommation d’animaux eux-mêmes contaminés par des virus (par exemple, la viande, le poisson, etc.).</w:t>
      </w:r>
    </w:p>
    <w:p w:rsidR="0035143E" w:rsidRPr="00F95A7B" w:rsidRDefault="0035143E" w:rsidP="0035143E">
      <w:pPr>
        <w:spacing w:before="100" w:beforeAutospacing="1" w:after="100" w:afterAutospacing="1"/>
        <w:rPr>
          <w:rFonts w:eastAsia="Times New Roman"/>
          <w:lang w:eastAsia="fr-FR"/>
        </w:rPr>
      </w:pPr>
      <w:r w:rsidRPr="00F95A7B">
        <w:rPr>
          <w:rFonts w:eastAsia="Times New Roman"/>
          <w:lang w:eastAsia="fr-FR"/>
        </w:rPr>
        <w:lastRenderedPageBreak/>
        <w:t>La part relative des différents modes de transmission des virus provoquant des maladies d’origine alimentaire n’a pas été déterminée.</w:t>
      </w:r>
    </w:p>
    <w:p w:rsidR="0035143E" w:rsidRPr="0041591C" w:rsidRDefault="0041591C" w:rsidP="0041591C">
      <w:pPr>
        <w:spacing w:before="100" w:beforeAutospacing="1" w:after="100" w:afterAutospacing="1"/>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VI.5. </w:t>
      </w:r>
      <w:r w:rsidR="0035143E" w:rsidRPr="0041591C">
        <w:rPr>
          <w:rFonts w:eastAsia="Times New Roman"/>
          <w:b/>
          <w:bCs/>
          <w:color w:val="0070C0"/>
          <w:u w:val="single"/>
          <w:lang w:eastAsia="fr-FR"/>
        </w:rPr>
        <w:t>Aliments associés aux maladies alimentaires d’origine virale</w:t>
      </w:r>
    </w:p>
    <w:p w:rsidR="0035143E" w:rsidRPr="00F95A7B" w:rsidRDefault="0035143E" w:rsidP="00F95A7B">
      <w:pPr>
        <w:spacing w:before="100" w:beforeAutospacing="1" w:after="100" w:afterAutospacing="1"/>
        <w:jc w:val="both"/>
        <w:rPr>
          <w:rFonts w:eastAsia="Times New Roman"/>
          <w:lang w:eastAsia="fr-FR"/>
        </w:rPr>
      </w:pPr>
      <w:r w:rsidRPr="00F95A7B">
        <w:rPr>
          <w:rFonts w:eastAsia="Times New Roman"/>
          <w:lang w:eastAsia="fr-FR"/>
        </w:rPr>
        <w:t>Les aliments le plus souvent associés aux maladies alimentaires d’origine virale sont:</w:t>
      </w:r>
    </w:p>
    <w:p w:rsidR="0035143E" w:rsidRPr="00F95A7B" w:rsidRDefault="0035143E" w:rsidP="00F95A7B">
      <w:pPr>
        <w:numPr>
          <w:ilvl w:val="0"/>
          <w:numId w:val="4"/>
        </w:numPr>
        <w:spacing w:before="100" w:beforeAutospacing="1" w:after="100" w:afterAutospacing="1"/>
        <w:jc w:val="both"/>
        <w:rPr>
          <w:rFonts w:eastAsia="Times New Roman"/>
          <w:lang w:eastAsia="fr-FR"/>
        </w:rPr>
      </w:pPr>
      <w:r w:rsidRPr="00F95A7B">
        <w:rPr>
          <w:rFonts w:eastAsia="Times New Roman"/>
          <w:lang w:eastAsia="fr-FR"/>
        </w:rPr>
        <w:t>les coquillages (comme les huîtres, les moules, etc.), les crustacés et leurs sous produits, récoltés ou élevés dans des eaux à proximité d’une sortie d’égout (par exemple, à proximité des stations d’épuration);</w:t>
      </w:r>
    </w:p>
    <w:p w:rsidR="0035143E" w:rsidRPr="00F95A7B" w:rsidRDefault="0035143E" w:rsidP="00F95A7B">
      <w:pPr>
        <w:numPr>
          <w:ilvl w:val="0"/>
          <w:numId w:val="4"/>
        </w:numPr>
        <w:spacing w:before="100" w:beforeAutospacing="1" w:after="100" w:afterAutospacing="1"/>
        <w:jc w:val="both"/>
        <w:rPr>
          <w:rFonts w:eastAsia="Times New Roman"/>
          <w:lang w:eastAsia="fr-FR"/>
        </w:rPr>
      </w:pPr>
      <w:r w:rsidRPr="00F95A7B">
        <w:rPr>
          <w:rFonts w:eastAsia="Times New Roman"/>
          <w:lang w:eastAsia="fr-FR"/>
        </w:rPr>
        <w:t>les fruits et légumes cultivés sur des terres fertilisées avec des déjections animales ou irriguées avec des eaux contaminées;</w:t>
      </w:r>
    </w:p>
    <w:p w:rsidR="0035143E" w:rsidRPr="00F95A7B" w:rsidRDefault="0035143E" w:rsidP="00F95A7B">
      <w:pPr>
        <w:numPr>
          <w:ilvl w:val="0"/>
          <w:numId w:val="4"/>
        </w:numPr>
        <w:spacing w:before="100" w:beforeAutospacing="1" w:after="100" w:afterAutospacing="1"/>
        <w:jc w:val="both"/>
        <w:rPr>
          <w:rFonts w:eastAsia="Times New Roman"/>
          <w:lang w:eastAsia="fr-FR"/>
        </w:rPr>
      </w:pPr>
      <w:r w:rsidRPr="00F95A7B">
        <w:rPr>
          <w:rFonts w:eastAsia="Times New Roman"/>
          <w:lang w:eastAsia="fr-FR"/>
        </w:rPr>
        <w:t>les viandes insuffisamment cuites</w:t>
      </w:r>
      <w:r w:rsidR="00F95A7B">
        <w:rPr>
          <w:rFonts w:eastAsia="Times New Roman"/>
          <w:lang w:eastAsia="fr-FR"/>
        </w:rPr>
        <w:t>.</w:t>
      </w:r>
    </w:p>
    <w:p w:rsidR="0035143E" w:rsidRPr="0041591C" w:rsidRDefault="0041591C" w:rsidP="0041591C">
      <w:pPr>
        <w:spacing w:before="100" w:beforeAutospacing="1" w:after="100" w:afterAutospacing="1"/>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VI.6. </w:t>
      </w:r>
      <w:r w:rsidR="0035143E" w:rsidRPr="0041591C">
        <w:rPr>
          <w:rFonts w:eastAsia="Times New Roman"/>
          <w:b/>
          <w:bCs/>
          <w:color w:val="0070C0"/>
          <w:u w:val="single"/>
          <w:lang w:eastAsia="fr-FR"/>
        </w:rPr>
        <w:t>Comment détecter les virus dans les aliments?</w:t>
      </w:r>
    </w:p>
    <w:p w:rsidR="00F95A7B" w:rsidRDefault="0035143E" w:rsidP="00F95A7B">
      <w:pPr>
        <w:pStyle w:val="a6"/>
        <w:numPr>
          <w:ilvl w:val="0"/>
          <w:numId w:val="13"/>
        </w:numPr>
        <w:spacing w:before="100" w:beforeAutospacing="1" w:after="100" w:afterAutospacing="1"/>
        <w:jc w:val="both"/>
        <w:rPr>
          <w:rFonts w:eastAsia="Times New Roman"/>
          <w:lang w:eastAsia="fr-FR"/>
        </w:rPr>
      </w:pPr>
      <w:r w:rsidRPr="00F95A7B">
        <w:rPr>
          <w:rFonts w:eastAsia="Times New Roman"/>
          <w:lang w:eastAsia="fr-FR"/>
        </w:rPr>
        <w:t>La détection des virus d’origine alimentaire n’est pas aisée et requiert une méthode différente de celle utilisée pour la détection des b</w:t>
      </w:r>
      <w:r w:rsidR="00F95A7B">
        <w:rPr>
          <w:rFonts w:eastAsia="Times New Roman"/>
          <w:lang w:eastAsia="fr-FR"/>
        </w:rPr>
        <w:t>actéries d’origine alimentaire.</w:t>
      </w:r>
    </w:p>
    <w:p w:rsidR="00F95A7B" w:rsidRPr="00F95A7B" w:rsidRDefault="0035143E" w:rsidP="00F95A7B">
      <w:pPr>
        <w:pStyle w:val="a6"/>
        <w:numPr>
          <w:ilvl w:val="0"/>
          <w:numId w:val="13"/>
        </w:numPr>
        <w:spacing w:before="100" w:beforeAutospacing="1" w:after="100" w:afterAutospacing="1"/>
        <w:jc w:val="both"/>
        <w:rPr>
          <w:rFonts w:eastAsia="Times New Roman"/>
          <w:lang w:eastAsia="fr-FR"/>
        </w:rPr>
      </w:pPr>
      <w:r w:rsidRPr="00F95A7B">
        <w:rPr>
          <w:rFonts w:eastAsia="Times New Roman"/>
          <w:lang w:eastAsia="fr-FR"/>
        </w:rPr>
        <w:t>Comme les virus ne peuvent être cultivés en laboratoire comme les bactéries, il faut souvent recourir à des techniques moléculaires afin de les extraire, les purifier et les identifier</w:t>
      </w:r>
      <w:r w:rsidR="00F95A7B" w:rsidRPr="00F95A7B">
        <w:rPr>
          <w:rFonts w:eastAsia="Times New Roman"/>
          <w:lang w:eastAsia="fr-FR"/>
        </w:rPr>
        <w:t>.</w:t>
      </w:r>
      <w:r w:rsidRPr="00F95A7B">
        <w:rPr>
          <w:rFonts w:eastAsia="Times New Roman"/>
          <w:vertAlign w:val="superscript"/>
          <w:lang w:eastAsia="fr-FR"/>
        </w:rPr>
        <w:t xml:space="preserve"> </w:t>
      </w:r>
    </w:p>
    <w:p w:rsidR="00F95A7B" w:rsidRDefault="0035143E" w:rsidP="00F95A7B">
      <w:pPr>
        <w:pStyle w:val="a6"/>
        <w:numPr>
          <w:ilvl w:val="0"/>
          <w:numId w:val="13"/>
        </w:numPr>
        <w:spacing w:before="100" w:beforeAutospacing="1" w:after="100" w:afterAutospacing="1"/>
        <w:jc w:val="both"/>
        <w:rPr>
          <w:rFonts w:eastAsia="Times New Roman"/>
          <w:lang w:eastAsia="fr-FR"/>
        </w:rPr>
      </w:pPr>
      <w:r w:rsidRPr="00F95A7B">
        <w:rPr>
          <w:rFonts w:eastAsia="Times New Roman"/>
          <w:lang w:eastAsia="fr-FR"/>
        </w:rPr>
        <w:t xml:space="preserve">On ne dispose pas partout de méthodes standardisées de détection des virus, si bien qu’il est difficile de fixer des normes pour la présence de virus dans les aliments. </w:t>
      </w:r>
    </w:p>
    <w:p w:rsidR="00F95A7B" w:rsidRDefault="0035143E" w:rsidP="00F95A7B">
      <w:pPr>
        <w:pStyle w:val="a6"/>
        <w:numPr>
          <w:ilvl w:val="0"/>
          <w:numId w:val="13"/>
        </w:numPr>
        <w:spacing w:before="100" w:beforeAutospacing="1" w:after="100" w:afterAutospacing="1"/>
        <w:jc w:val="both"/>
        <w:rPr>
          <w:rFonts w:eastAsia="Times New Roman"/>
          <w:lang w:eastAsia="fr-FR"/>
        </w:rPr>
      </w:pPr>
      <w:r w:rsidRPr="00F95A7B">
        <w:rPr>
          <w:rFonts w:eastAsia="Times New Roman"/>
          <w:lang w:eastAsia="fr-FR"/>
        </w:rPr>
        <w:t xml:space="preserve">On se fonde souvent sur des analyses microbiologiques pour le contrôle de la qualité, alors qu’il a été prouvé que ces critères ne suffisent pas à protéger des maladies alimentaires d’origine virale. </w:t>
      </w:r>
    </w:p>
    <w:p w:rsidR="0035143E" w:rsidRPr="00F95A7B" w:rsidRDefault="0035143E" w:rsidP="00F95A7B">
      <w:pPr>
        <w:pStyle w:val="a6"/>
        <w:numPr>
          <w:ilvl w:val="0"/>
          <w:numId w:val="13"/>
        </w:numPr>
        <w:spacing w:before="100" w:beforeAutospacing="1" w:after="100" w:afterAutospacing="1"/>
        <w:jc w:val="both"/>
        <w:rPr>
          <w:rFonts w:eastAsia="Times New Roman"/>
          <w:lang w:eastAsia="fr-FR"/>
        </w:rPr>
      </w:pPr>
      <w:r w:rsidRPr="00F95A7B">
        <w:rPr>
          <w:rFonts w:eastAsia="Times New Roman"/>
          <w:lang w:eastAsia="fr-FR"/>
        </w:rPr>
        <w:t>Cependant, le Comité européen de normalisation a récemment développé et rendu publique une méthode de laboratoire standardisée (c.-à-d. une méthode agréée, utilisable par différents laboratoires et donnant des résultats comparables) permettant de détecter et de chiffrer la présence de norovirus et d’hépatovirus dans différents aliments tels que les coquillages, les fruits, les produits frais et l’eau en bouteille</w:t>
      </w:r>
      <w:r w:rsidR="00F95A7B" w:rsidRPr="00F95A7B">
        <w:rPr>
          <w:rFonts w:eastAsia="Times New Roman"/>
          <w:lang w:eastAsia="fr-FR"/>
        </w:rPr>
        <w:t>.</w:t>
      </w:r>
    </w:p>
    <w:p w:rsidR="0035143E" w:rsidRPr="0041591C" w:rsidRDefault="0041591C" w:rsidP="0041591C">
      <w:pPr>
        <w:spacing w:before="100" w:beforeAutospacing="1" w:after="100" w:afterAutospacing="1"/>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VI.7. </w:t>
      </w:r>
      <w:r w:rsidR="0035143E" w:rsidRPr="0041591C">
        <w:rPr>
          <w:rFonts w:eastAsia="Times New Roman"/>
          <w:b/>
          <w:bCs/>
          <w:color w:val="0070C0"/>
          <w:u w:val="single"/>
          <w:lang w:eastAsia="fr-FR"/>
        </w:rPr>
        <w:t>Comment éviter et maîtriser l’apparition de maladies alimentaires d’origine virale?</w:t>
      </w:r>
    </w:p>
    <w:p w:rsidR="0035143E" w:rsidRPr="00F95A7B" w:rsidRDefault="0035143E" w:rsidP="00F95A7B">
      <w:pPr>
        <w:spacing w:before="100" w:beforeAutospacing="1" w:after="100" w:afterAutospacing="1"/>
        <w:jc w:val="both"/>
        <w:rPr>
          <w:rFonts w:eastAsia="Times New Roman"/>
          <w:lang w:eastAsia="fr-FR"/>
        </w:rPr>
      </w:pPr>
      <w:r w:rsidRPr="00F95A7B">
        <w:rPr>
          <w:rFonts w:eastAsia="Times New Roman"/>
          <w:lang w:eastAsia="fr-FR"/>
        </w:rPr>
        <w:t>Les antibiotiques étant inefficaces contre les virus, il faut donc recourir aux mesures suivantes de prévention pour essayer d’enrayer les maladies alimentaires d’origine virale:</w:t>
      </w:r>
    </w:p>
    <w:p w:rsidR="0035143E" w:rsidRPr="00F95A7B" w:rsidRDefault="0035143E" w:rsidP="00F95A7B">
      <w:pPr>
        <w:numPr>
          <w:ilvl w:val="0"/>
          <w:numId w:val="5"/>
        </w:numPr>
        <w:spacing w:before="100" w:beforeAutospacing="1" w:after="100" w:afterAutospacing="1"/>
        <w:jc w:val="both"/>
        <w:rPr>
          <w:rFonts w:eastAsia="Times New Roman"/>
          <w:lang w:eastAsia="fr-FR"/>
        </w:rPr>
      </w:pPr>
      <w:r w:rsidRPr="00F95A7B">
        <w:rPr>
          <w:rFonts w:eastAsia="Times New Roman"/>
          <w:lang w:eastAsia="fr-FR"/>
        </w:rPr>
        <w:t>sensibiliser et former aux règles d’hygiène (par exemple se laver les mains, laver les fruits et légumes et les manipuler correctement, conserver les aliments au réfrigérateur et cuire suffisamment la viande). Ces règles sont particulièrement importantes dans les lieux comme les hôpitaux où de la nourriture est préparée pour des personnes malades ou fragiles,</w:t>
      </w:r>
    </w:p>
    <w:p w:rsidR="0035143E" w:rsidRPr="00F95A7B" w:rsidRDefault="0035143E" w:rsidP="0035143E">
      <w:pPr>
        <w:numPr>
          <w:ilvl w:val="0"/>
          <w:numId w:val="5"/>
        </w:numPr>
        <w:spacing w:before="100" w:beforeAutospacing="1" w:after="100" w:afterAutospacing="1"/>
        <w:rPr>
          <w:rFonts w:eastAsia="Times New Roman"/>
          <w:lang w:eastAsia="fr-FR"/>
        </w:rPr>
      </w:pPr>
      <w:r w:rsidRPr="00F95A7B">
        <w:rPr>
          <w:rFonts w:eastAsia="Times New Roman"/>
          <w:lang w:eastAsia="fr-FR"/>
        </w:rPr>
        <w:t>en cas de maladie, relever de leur poste les employés habituellement affectés au service,</w:t>
      </w:r>
    </w:p>
    <w:p w:rsidR="0035143E" w:rsidRPr="00F95A7B" w:rsidRDefault="0035143E" w:rsidP="0035143E">
      <w:pPr>
        <w:numPr>
          <w:ilvl w:val="0"/>
          <w:numId w:val="5"/>
        </w:numPr>
        <w:spacing w:before="100" w:beforeAutospacing="1" w:after="100" w:afterAutospacing="1"/>
        <w:rPr>
          <w:rFonts w:eastAsia="Times New Roman"/>
          <w:lang w:eastAsia="fr-FR"/>
        </w:rPr>
      </w:pPr>
      <w:r w:rsidRPr="00F95A7B">
        <w:rPr>
          <w:rFonts w:eastAsia="Times New Roman"/>
          <w:lang w:eastAsia="fr-FR"/>
        </w:rPr>
        <w:t>utiliser de l’eau propre pour irriguer les cultures, particulièrement celles qui ne seront pas transformées,</w:t>
      </w:r>
    </w:p>
    <w:p w:rsidR="0035143E" w:rsidRPr="00F95A7B" w:rsidRDefault="0035143E" w:rsidP="0035143E">
      <w:pPr>
        <w:numPr>
          <w:ilvl w:val="0"/>
          <w:numId w:val="5"/>
        </w:numPr>
        <w:spacing w:before="100" w:beforeAutospacing="1" w:after="100" w:afterAutospacing="1"/>
        <w:rPr>
          <w:rFonts w:eastAsia="Times New Roman"/>
          <w:lang w:eastAsia="fr-FR"/>
        </w:rPr>
      </w:pPr>
      <w:r w:rsidRPr="00F95A7B">
        <w:rPr>
          <w:rFonts w:eastAsia="Times New Roman"/>
          <w:lang w:eastAsia="fr-FR"/>
        </w:rPr>
        <w:t>éviter d’utiliser du fumier d’origine animale pour fertiliser les cultures, particulièrement celles qui ne seront pas transformées,</w:t>
      </w:r>
    </w:p>
    <w:p w:rsidR="0035143E" w:rsidRPr="00F95A7B" w:rsidRDefault="0035143E" w:rsidP="0035143E">
      <w:pPr>
        <w:numPr>
          <w:ilvl w:val="0"/>
          <w:numId w:val="5"/>
        </w:numPr>
        <w:spacing w:before="100" w:beforeAutospacing="1" w:after="100" w:afterAutospacing="1"/>
        <w:rPr>
          <w:rFonts w:eastAsia="Times New Roman"/>
          <w:lang w:eastAsia="fr-FR"/>
        </w:rPr>
      </w:pPr>
      <w:r w:rsidRPr="00F95A7B">
        <w:rPr>
          <w:rFonts w:eastAsia="Times New Roman"/>
          <w:lang w:eastAsia="fr-FR"/>
        </w:rPr>
        <w:lastRenderedPageBreak/>
        <w:t>pratiquer la conchyliculture dans des eaux de mer propres, protégées de toute contamination par les égouts</w:t>
      </w:r>
      <w:r w:rsidR="00F95A7B">
        <w:rPr>
          <w:rFonts w:eastAsia="Times New Roman"/>
          <w:lang w:eastAsia="fr-FR"/>
        </w:rPr>
        <w:t>.</w:t>
      </w:r>
      <w:r w:rsidRPr="00F95A7B">
        <w:rPr>
          <w:rFonts w:eastAsia="Times New Roman"/>
          <w:vertAlign w:val="superscript"/>
          <w:lang w:eastAsia="fr-FR"/>
        </w:rPr>
        <w:t>​​​</w:t>
      </w:r>
    </w:p>
    <w:p w:rsidR="0035143E" w:rsidRPr="0041591C" w:rsidRDefault="0041591C" w:rsidP="0041591C">
      <w:pPr>
        <w:spacing w:before="100" w:beforeAutospacing="1" w:after="100" w:afterAutospacing="1"/>
        <w:outlineLvl w:val="1"/>
        <w:rPr>
          <w:rFonts w:eastAsia="Times New Roman"/>
          <w:b/>
          <w:bCs/>
          <w:color w:val="0070C0"/>
          <w:u w:val="single"/>
          <w:lang w:eastAsia="fr-FR"/>
        </w:rPr>
      </w:pPr>
      <w:r w:rsidRPr="0041591C">
        <w:rPr>
          <w:rFonts w:eastAsia="Times New Roman"/>
          <w:b/>
          <w:bCs/>
          <w:color w:val="0070C0"/>
          <w:kern w:val="36"/>
          <w:u w:val="single"/>
          <w:lang w:eastAsia="fr-FR"/>
        </w:rPr>
        <w:t xml:space="preserve">VI.8. </w:t>
      </w:r>
      <w:r w:rsidR="0035143E" w:rsidRPr="0041591C">
        <w:rPr>
          <w:rFonts w:eastAsia="Times New Roman"/>
          <w:b/>
          <w:bCs/>
          <w:color w:val="0070C0"/>
          <w:u w:val="single"/>
          <w:lang w:eastAsia="fr-FR"/>
        </w:rPr>
        <w:t>Conclusion</w:t>
      </w:r>
    </w:p>
    <w:p w:rsidR="0035143E" w:rsidRPr="00F95A7B" w:rsidRDefault="0035143E" w:rsidP="00F95A7B">
      <w:pPr>
        <w:spacing w:before="100" w:beforeAutospacing="1" w:after="100" w:afterAutospacing="1"/>
        <w:jc w:val="both"/>
        <w:rPr>
          <w:rFonts w:eastAsia="Times New Roman"/>
          <w:lang w:eastAsia="fr-FR"/>
        </w:rPr>
      </w:pPr>
      <w:r w:rsidRPr="00F95A7B">
        <w:rPr>
          <w:rFonts w:eastAsia="Times New Roman"/>
          <w:lang w:eastAsia="fr-FR"/>
        </w:rPr>
        <w:t>De nombreux virus sont associés aux maladies d’origine alimentaire, mais les norovirus et les hépatovirus représentent un risque majeur. Pour limiter la propagation de ces maladies, une conscience accrue de l’importance de l’hygiène et des formations aux bonnes pratiques de production et de manipulation des aliments sont nécessaires. L’amélioration des méthodes de détection permettra de mieux contrôler la présence de virus dans les aliments en général, et diminuera en particulier les risques pour les aliments généralement associés aux maladies alimentaires virales.</w:t>
      </w:r>
    </w:p>
    <w:p w:rsidR="0041591C" w:rsidRDefault="0041591C" w:rsidP="00F95A7B">
      <w:pPr>
        <w:jc w:val="both"/>
        <w:rPr>
          <w:rFonts w:ascii="Calibri" w:eastAsia="Times New Roman" w:hAnsi="Calibri"/>
          <w:b/>
          <w:bCs/>
          <w:highlight w:val="yellow"/>
        </w:rPr>
      </w:pPr>
    </w:p>
    <w:p w:rsidR="0041591C" w:rsidRDefault="004159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F577C3" w:rsidRDefault="00F577C3" w:rsidP="00F95A7B">
      <w:pPr>
        <w:jc w:val="both"/>
        <w:rPr>
          <w:rFonts w:ascii="Calibri" w:eastAsia="Times New Roman" w:hAnsi="Calibri"/>
          <w:b/>
          <w:bCs/>
          <w:highlight w:val="yellow"/>
        </w:rPr>
      </w:pPr>
    </w:p>
    <w:p w:rsidR="00F577C3" w:rsidRPr="00F577C3" w:rsidRDefault="00F577C3" w:rsidP="00F577C3">
      <w:pPr>
        <w:jc w:val="center"/>
        <w:rPr>
          <w:rFonts w:ascii="Bookman Old Style" w:eastAsia="Times New Roman" w:hAnsi="Bookman Old Style"/>
          <w:b/>
          <w:bCs/>
          <w:sz w:val="44"/>
          <w:szCs w:val="44"/>
          <w:highlight w:val="yellow"/>
        </w:rPr>
      </w:pPr>
      <w:r w:rsidRPr="00F577C3">
        <w:rPr>
          <w:rFonts w:ascii="Bookman Old Style" w:eastAsia="Times New Roman" w:hAnsi="Bookman Old Style"/>
          <w:b/>
          <w:bCs/>
          <w:sz w:val="44"/>
          <w:szCs w:val="44"/>
          <w:highlight w:val="yellow"/>
        </w:rPr>
        <w:t>Bon courage</w:t>
      </w:r>
    </w:p>
    <w:p w:rsidR="002E531C" w:rsidRPr="00F577C3" w:rsidRDefault="002E531C" w:rsidP="00F577C3">
      <w:pPr>
        <w:jc w:val="center"/>
        <w:rPr>
          <w:rFonts w:ascii="Bookman Old Style" w:eastAsia="Times New Roman" w:hAnsi="Bookman Old Style"/>
          <w:b/>
          <w:bCs/>
          <w:sz w:val="44"/>
          <w:szCs w:val="44"/>
          <w:highlight w:val="yellow"/>
        </w:rPr>
      </w:pPr>
    </w:p>
    <w:p w:rsidR="002E531C" w:rsidRPr="00F577C3" w:rsidRDefault="002E531C" w:rsidP="00F577C3">
      <w:pPr>
        <w:jc w:val="center"/>
        <w:rPr>
          <w:rFonts w:ascii="Bookman Old Style" w:eastAsia="Times New Roman" w:hAnsi="Bookman Old Style"/>
          <w:b/>
          <w:bCs/>
          <w:sz w:val="44"/>
          <w:szCs w:val="44"/>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F95A7B">
      <w:pPr>
        <w:jc w:val="both"/>
        <w:rPr>
          <w:rFonts w:ascii="Calibri" w:eastAsia="Times New Roman" w:hAnsi="Calibri"/>
          <w:b/>
          <w:bCs/>
          <w:highlight w:val="yellow"/>
        </w:rPr>
      </w:pPr>
    </w:p>
    <w:p w:rsidR="002E531C" w:rsidRDefault="002E531C" w:rsidP="002E531C">
      <w:pPr>
        <w:jc w:val="both"/>
        <w:rPr>
          <w:rFonts w:asciiTheme="majorBidi" w:eastAsia="Times New Roman" w:hAnsiTheme="majorBidi" w:cstheme="majorBidi"/>
          <w:b/>
          <w:bCs/>
          <w:color w:val="0070C0"/>
        </w:rPr>
      </w:pPr>
    </w:p>
    <w:sectPr w:rsidR="002E531C" w:rsidSect="007A2802">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51" w:rsidRPr="00AE480F" w:rsidRDefault="00EA0F51" w:rsidP="00AE480F">
      <w:pPr>
        <w:pStyle w:val="a3"/>
        <w:spacing w:before="0" w:after="0"/>
        <w:rPr>
          <w:rFonts w:eastAsia="SimSun"/>
          <w:lang w:eastAsia="zh-CN"/>
        </w:rPr>
      </w:pPr>
      <w:r>
        <w:separator/>
      </w:r>
    </w:p>
  </w:endnote>
  <w:endnote w:type="continuationSeparator" w:id="1">
    <w:p w:rsidR="00EA0F51" w:rsidRPr="00AE480F" w:rsidRDefault="00EA0F51" w:rsidP="00AE480F">
      <w:pPr>
        <w:pStyle w:val="a3"/>
        <w:spacing w:before="0" w:after="0"/>
        <w:rPr>
          <w:rFonts w:eastAsia="SimSun"/>
          <w:lang w:eastAsia="zh-CN"/>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13876"/>
      <w:docPartObj>
        <w:docPartGallery w:val="Page Numbers (Bottom of Page)"/>
        <w:docPartUnique/>
      </w:docPartObj>
    </w:sdtPr>
    <w:sdtContent>
      <w:p w:rsidR="00AE480F" w:rsidRDefault="00A97539" w:rsidP="00AE480F">
        <w:pPr>
          <w:pStyle w:val="ab"/>
          <w:pBdr>
            <w:top w:val="single" w:sz="4" w:space="1" w:color="auto"/>
          </w:pBdr>
          <w:jc w:val="right"/>
        </w:pPr>
        <w:fldSimple w:instr=" PAGE   \* MERGEFORMAT ">
          <w:r w:rsidR="007A2802">
            <w:rPr>
              <w:noProof/>
            </w:rPr>
            <w:t>2</w:t>
          </w:r>
        </w:fldSimple>
        <w:r w:rsidR="00AE480F">
          <w:t xml:space="preserve">                                         </w:t>
        </w:r>
        <w:r w:rsidR="00AE480F" w:rsidRPr="003112AF">
          <w:t xml:space="preserve"> </w:t>
        </w:r>
        <w:r w:rsidR="00AE480F">
          <w:t>Dr. ARIECH Mounira (2019-2020)</w:t>
        </w:r>
      </w:p>
    </w:sdtContent>
  </w:sdt>
  <w:p w:rsidR="00AE480F" w:rsidRDefault="00AE480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51" w:rsidRPr="00AE480F" w:rsidRDefault="00EA0F51" w:rsidP="00AE480F">
      <w:pPr>
        <w:pStyle w:val="a3"/>
        <w:spacing w:before="0" w:after="0"/>
        <w:rPr>
          <w:rFonts w:eastAsia="SimSun"/>
          <w:lang w:eastAsia="zh-CN"/>
        </w:rPr>
      </w:pPr>
      <w:r>
        <w:separator/>
      </w:r>
    </w:p>
  </w:footnote>
  <w:footnote w:type="continuationSeparator" w:id="1">
    <w:p w:rsidR="00EA0F51" w:rsidRPr="00AE480F" w:rsidRDefault="00EA0F51" w:rsidP="00AE480F">
      <w:pPr>
        <w:pStyle w:val="a3"/>
        <w:spacing w:before="0" w:after="0"/>
        <w:rPr>
          <w:rFonts w:eastAsia="SimSun"/>
          <w:lang w:eastAsia="zh-C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0F" w:rsidRPr="00ED00FC" w:rsidRDefault="00C47A1B" w:rsidP="00AE480F">
    <w:pPr>
      <w:pStyle w:val="aa"/>
      <w:jc w:val="right"/>
      <w:rPr>
        <w:rFonts w:ascii="Andalus" w:hAnsi="Andalus" w:cs="Andalus"/>
        <w:sz w:val="20"/>
        <w:szCs w:val="20"/>
        <w:u w:val="single"/>
      </w:rPr>
    </w:pPr>
    <w:r>
      <w:rPr>
        <w:rFonts w:ascii="Andalus" w:hAnsi="Andalus" w:cs="Andalus"/>
        <w:sz w:val="20"/>
        <w:szCs w:val="20"/>
        <w:u w:val="single"/>
      </w:rPr>
      <w:t xml:space="preserve">                                                          </w:t>
    </w:r>
    <w:r w:rsidR="00AE480F" w:rsidRPr="00ED00FC">
      <w:rPr>
        <w:rFonts w:ascii="Andalus" w:hAnsi="Andalus" w:cs="Andalus"/>
        <w:sz w:val="20"/>
        <w:szCs w:val="20"/>
        <w:u w:val="single"/>
      </w:rPr>
      <w:t xml:space="preserve">Cours de </w:t>
    </w:r>
    <w:r w:rsidR="00AE480F">
      <w:rPr>
        <w:rFonts w:ascii="Andalus" w:hAnsi="Andalus" w:cs="Andalus"/>
        <w:sz w:val="20"/>
        <w:szCs w:val="20"/>
        <w:u w:val="single"/>
      </w:rPr>
      <w:t>Microbiologie alimentaire</w:t>
    </w:r>
    <w:r w:rsidR="00AE480F" w:rsidRPr="00ED00FC">
      <w:rPr>
        <w:rFonts w:ascii="Andalus" w:hAnsi="Andalus" w:cs="Andalus"/>
        <w:sz w:val="20"/>
        <w:szCs w:val="20"/>
        <w:u w:val="single"/>
      </w:rPr>
      <w:t xml:space="preserve"> (M</w:t>
    </w:r>
    <w:r w:rsidR="00AE480F">
      <w:rPr>
        <w:rFonts w:ascii="Andalus" w:hAnsi="Andalus" w:cs="Andalus"/>
        <w:sz w:val="20"/>
        <w:szCs w:val="20"/>
        <w:u w:val="single"/>
      </w:rPr>
      <w:t>ic-Ali</w:t>
    </w:r>
    <w:r w:rsidR="00AE480F" w:rsidRPr="00ED00FC">
      <w:rPr>
        <w:rFonts w:ascii="Andalus" w:hAnsi="Andalus" w:cs="Andalus"/>
        <w:sz w:val="20"/>
        <w:szCs w:val="20"/>
        <w:u w:val="single"/>
      </w:rPr>
      <w:t>) pour 3</w:t>
    </w:r>
    <w:r w:rsidR="00AE480F" w:rsidRPr="00ED00FC">
      <w:rPr>
        <w:rFonts w:ascii="Andalus" w:hAnsi="Andalus" w:cs="Andalus"/>
        <w:sz w:val="20"/>
        <w:szCs w:val="20"/>
        <w:u w:val="single"/>
        <w:vertAlign w:val="superscript"/>
      </w:rPr>
      <w:t>ème</w:t>
    </w:r>
    <w:r w:rsidR="00AE480F" w:rsidRPr="00ED00FC">
      <w:rPr>
        <w:rFonts w:ascii="Andalus" w:hAnsi="Andalus" w:cs="Andalus"/>
        <w:sz w:val="20"/>
        <w:szCs w:val="20"/>
        <w:u w:val="single"/>
      </w:rPr>
      <w:t xml:space="preserve"> Année Licence ANP.</w:t>
    </w:r>
  </w:p>
  <w:p w:rsidR="00AE480F" w:rsidRDefault="00AE480F" w:rsidP="00AE480F"/>
  <w:p w:rsidR="00AE480F" w:rsidRDefault="00AE480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7458"/>
      </v:shape>
    </w:pict>
  </w:numPicBullet>
  <w:abstractNum w:abstractNumId="0">
    <w:nsid w:val="01EA2616"/>
    <w:multiLevelType w:val="hybridMultilevel"/>
    <w:tmpl w:val="C5EA3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B636DA"/>
    <w:multiLevelType w:val="hybridMultilevel"/>
    <w:tmpl w:val="011E5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97850"/>
    <w:multiLevelType w:val="hybridMultilevel"/>
    <w:tmpl w:val="CC767200"/>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
    <w:nsid w:val="12FA3424"/>
    <w:multiLevelType w:val="multilevel"/>
    <w:tmpl w:val="F9C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75671"/>
    <w:multiLevelType w:val="multilevel"/>
    <w:tmpl w:val="D376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845A9"/>
    <w:multiLevelType w:val="hybridMultilevel"/>
    <w:tmpl w:val="3CCE0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EC4D25"/>
    <w:multiLevelType w:val="hybridMultilevel"/>
    <w:tmpl w:val="9800C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7B74BC"/>
    <w:multiLevelType w:val="multilevel"/>
    <w:tmpl w:val="4768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DE139A"/>
    <w:multiLevelType w:val="hybridMultilevel"/>
    <w:tmpl w:val="A4D86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AB69CE"/>
    <w:multiLevelType w:val="hybridMultilevel"/>
    <w:tmpl w:val="92B0ED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4E49EB"/>
    <w:multiLevelType w:val="multilevel"/>
    <w:tmpl w:val="100E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25361"/>
    <w:multiLevelType w:val="hybridMultilevel"/>
    <w:tmpl w:val="B93CD8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B24F9E"/>
    <w:multiLevelType w:val="multilevel"/>
    <w:tmpl w:val="3E9C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82086"/>
    <w:multiLevelType w:val="hybridMultilevel"/>
    <w:tmpl w:val="E90A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6D364D"/>
    <w:multiLevelType w:val="multilevel"/>
    <w:tmpl w:val="C466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7D18FC"/>
    <w:multiLevelType w:val="multilevel"/>
    <w:tmpl w:val="8520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CE233D"/>
    <w:multiLevelType w:val="multilevel"/>
    <w:tmpl w:val="2714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747FDF"/>
    <w:multiLevelType w:val="multilevel"/>
    <w:tmpl w:val="C27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1464D"/>
    <w:multiLevelType w:val="hybridMultilevel"/>
    <w:tmpl w:val="70B66A0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D21FC6"/>
    <w:multiLevelType w:val="hybridMultilevel"/>
    <w:tmpl w:val="2B582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CC1841"/>
    <w:multiLevelType w:val="hybridMultilevel"/>
    <w:tmpl w:val="3A4285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2E1F39"/>
    <w:multiLevelType w:val="multilevel"/>
    <w:tmpl w:val="0FB86F9A"/>
    <w:lvl w:ilvl="0">
      <w:start w:val="1"/>
      <w:numFmt w:val="bullet"/>
      <w:lvlText w:val=""/>
      <w:lvlJc w:val="left"/>
      <w:pPr>
        <w:tabs>
          <w:tab w:val="num" w:pos="6455"/>
        </w:tabs>
        <w:ind w:left="6455" w:hanging="360"/>
      </w:pPr>
      <w:rPr>
        <w:rFonts w:ascii="Symbol" w:hAnsi="Symbol" w:hint="default"/>
        <w:sz w:val="20"/>
      </w:rPr>
    </w:lvl>
    <w:lvl w:ilvl="1" w:tentative="1">
      <w:start w:val="1"/>
      <w:numFmt w:val="bullet"/>
      <w:lvlText w:val="o"/>
      <w:lvlJc w:val="left"/>
      <w:pPr>
        <w:tabs>
          <w:tab w:val="num" w:pos="7175"/>
        </w:tabs>
        <w:ind w:left="7175" w:hanging="360"/>
      </w:pPr>
      <w:rPr>
        <w:rFonts w:ascii="Courier New" w:hAnsi="Courier New" w:hint="default"/>
        <w:sz w:val="20"/>
      </w:rPr>
    </w:lvl>
    <w:lvl w:ilvl="2" w:tentative="1">
      <w:start w:val="1"/>
      <w:numFmt w:val="bullet"/>
      <w:lvlText w:val=""/>
      <w:lvlJc w:val="left"/>
      <w:pPr>
        <w:tabs>
          <w:tab w:val="num" w:pos="7895"/>
        </w:tabs>
        <w:ind w:left="7895" w:hanging="360"/>
      </w:pPr>
      <w:rPr>
        <w:rFonts w:ascii="Wingdings" w:hAnsi="Wingdings" w:hint="default"/>
        <w:sz w:val="20"/>
      </w:rPr>
    </w:lvl>
    <w:lvl w:ilvl="3" w:tentative="1">
      <w:start w:val="1"/>
      <w:numFmt w:val="bullet"/>
      <w:lvlText w:val=""/>
      <w:lvlJc w:val="left"/>
      <w:pPr>
        <w:tabs>
          <w:tab w:val="num" w:pos="8615"/>
        </w:tabs>
        <w:ind w:left="8615" w:hanging="360"/>
      </w:pPr>
      <w:rPr>
        <w:rFonts w:ascii="Wingdings" w:hAnsi="Wingdings" w:hint="default"/>
        <w:sz w:val="20"/>
      </w:rPr>
    </w:lvl>
    <w:lvl w:ilvl="4" w:tentative="1">
      <w:start w:val="1"/>
      <w:numFmt w:val="bullet"/>
      <w:lvlText w:val=""/>
      <w:lvlJc w:val="left"/>
      <w:pPr>
        <w:tabs>
          <w:tab w:val="num" w:pos="9335"/>
        </w:tabs>
        <w:ind w:left="9335" w:hanging="360"/>
      </w:pPr>
      <w:rPr>
        <w:rFonts w:ascii="Wingdings" w:hAnsi="Wingdings" w:hint="default"/>
        <w:sz w:val="20"/>
      </w:rPr>
    </w:lvl>
    <w:lvl w:ilvl="5" w:tentative="1">
      <w:start w:val="1"/>
      <w:numFmt w:val="bullet"/>
      <w:lvlText w:val=""/>
      <w:lvlJc w:val="left"/>
      <w:pPr>
        <w:tabs>
          <w:tab w:val="num" w:pos="10055"/>
        </w:tabs>
        <w:ind w:left="10055" w:hanging="360"/>
      </w:pPr>
      <w:rPr>
        <w:rFonts w:ascii="Wingdings" w:hAnsi="Wingdings" w:hint="default"/>
        <w:sz w:val="20"/>
      </w:rPr>
    </w:lvl>
    <w:lvl w:ilvl="6" w:tentative="1">
      <w:start w:val="1"/>
      <w:numFmt w:val="bullet"/>
      <w:lvlText w:val=""/>
      <w:lvlJc w:val="left"/>
      <w:pPr>
        <w:tabs>
          <w:tab w:val="num" w:pos="10775"/>
        </w:tabs>
        <w:ind w:left="10775" w:hanging="360"/>
      </w:pPr>
      <w:rPr>
        <w:rFonts w:ascii="Wingdings" w:hAnsi="Wingdings" w:hint="default"/>
        <w:sz w:val="20"/>
      </w:rPr>
    </w:lvl>
    <w:lvl w:ilvl="7" w:tentative="1">
      <w:start w:val="1"/>
      <w:numFmt w:val="bullet"/>
      <w:lvlText w:val=""/>
      <w:lvlJc w:val="left"/>
      <w:pPr>
        <w:tabs>
          <w:tab w:val="num" w:pos="11495"/>
        </w:tabs>
        <w:ind w:left="11495" w:hanging="360"/>
      </w:pPr>
      <w:rPr>
        <w:rFonts w:ascii="Wingdings" w:hAnsi="Wingdings" w:hint="default"/>
        <w:sz w:val="20"/>
      </w:rPr>
    </w:lvl>
    <w:lvl w:ilvl="8" w:tentative="1">
      <w:start w:val="1"/>
      <w:numFmt w:val="bullet"/>
      <w:lvlText w:val=""/>
      <w:lvlJc w:val="left"/>
      <w:pPr>
        <w:tabs>
          <w:tab w:val="num" w:pos="12215"/>
        </w:tabs>
        <w:ind w:left="12215" w:hanging="360"/>
      </w:pPr>
      <w:rPr>
        <w:rFonts w:ascii="Wingdings" w:hAnsi="Wingdings" w:hint="default"/>
        <w:sz w:val="20"/>
      </w:rPr>
    </w:lvl>
  </w:abstractNum>
  <w:abstractNum w:abstractNumId="22">
    <w:nsid w:val="59030740"/>
    <w:multiLevelType w:val="hybridMultilevel"/>
    <w:tmpl w:val="9C6A1B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A19452A"/>
    <w:multiLevelType w:val="hybridMultilevel"/>
    <w:tmpl w:val="5ACCD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B94980"/>
    <w:multiLevelType w:val="multilevel"/>
    <w:tmpl w:val="088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684A01"/>
    <w:multiLevelType w:val="hybridMultilevel"/>
    <w:tmpl w:val="82BCEF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7B6BB4"/>
    <w:multiLevelType w:val="hybridMultilevel"/>
    <w:tmpl w:val="34981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9A7FE1"/>
    <w:multiLevelType w:val="multilevel"/>
    <w:tmpl w:val="7CEE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8008F3"/>
    <w:multiLevelType w:val="multilevel"/>
    <w:tmpl w:val="193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17"/>
  </w:num>
  <w:num w:numId="4">
    <w:abstractNumId w:val="28"/>
  </w:num>
  <w:num w:numId="5">
    <w:abstractNumId w:val="16"/>
  </w:num>
  <w:num w:numId="6">
    <w:abstractNumId w:val="4"/>
  </w:num>
  <w:num w:numId="7">
    <w:abstractNumId w:val="21"/>
  </w:num>
  <w:num w:numId="8">
    <w:abstractNumId w:val="14"/>
  </w:num>
  <w:num w:numId="9">
    <w:abstractNumId w:val="10"/>
  </w:num>
  <w:num w:numId="10">
    <w:abstractNumId w:val="12"/>
  </w:num>
  <w:num w:numId="11">
    <w:abstractNumId w:val="15"/>
  </w:num>
  <w:num w:numId="12">
    <w:abstractNumId w:val="26"/>
  </w:num>
  <w:num w:numId="13">
    <w:abstractNumId w:val="19"/>
  </w:num>
  <w:num w:numId="14">
    <w:abstractNumId w:val="27"/>
  </w:num>
  <w:num w:numId="15">
    <w:abstractNumId w:val="3"/>
  </w:num>
  <w:num w:numId="16">
    <w:abstractNumId w:val="7"/>
  </w:num>
  <w:num w:numId="17">
    <w:abstractNumId w:val="0"/>
  </w:num>
  <w:num w:numId="18">
    <w:abstractNumId w:val="18"/>
  </w:num>
  <w:num w:numId="19">
    <w:abstractNumId w:val="23"/>
  </w:num>
  <w:num w:numId="20">
    <w:abstractNumId w:val="5"/>
  </w:num>
  <w:num w:numId="21">
    <w:abstractNumId w:val="13"/>
  </w:num>
  <w:num w:numId="22">
    <w:abstractNumId w:val="1"/>
  </w:num>
  <w:num w:numId="23">
    <w:abstractNumId w:val="9"/>
  </w:num>
  <w:num w:numId="24">
    <w:abstractNumId w:val="2"/>
  </w:num>
  <w:num w:numId="25">
    <w:abstractNumId w:val="22"/>
  </w:num>
  <w:num w:numId="26">
    <w:abstractNumId w:val="20"/>
  </w:num>
  <w:num w:numId="27">
    <w:abstractNumId w:val="6"/>
  </w:num>
  <w:num w:numId="28">
    <w:abstractNumId w:val="25"/>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5143E"/>
    <w:rsid w:val="0006431C"/>
    <w:rsid w:val="002E531C"/>
    <w:rsid w:val="00347DF7"/>
    <w:rsid w:val="0035143E"/>
    <w:rsid w:val="00406C8F"/>
    <w:rsid w:val="0041591C"/>
    <w:rsid w:val="00436BAC"/>
    <w:rsid w:val="005033ED"/>
    <w:rsid w:val="00605D3B"/>
    <w:rsid w:val="006E0A1E"/>
    <w:rsid w:val="007A2802"/>
    <w:rsid w:val="0092061B"/>
    <w:rsid w:val="00A97539"/>
    <w:rsid w:val="00AA4771"/>
    <w:rsid w:val="00AE480F"/>
    <w:rsid w:val="00C47A1B"/>
    <w:rsid w:val="00CD1DCD"/>
    <w:rsid w:val="00DA743D"/>
    <w:rsid w:val="00EA0F51"/>
    <w:rsid w:val="00EF2F1D"/>
    <w:rsid w:val="00F577C3"/>
    <w:rsid w:val="00F95A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3" type="connector" idref="#_x0000_s1028"/>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3E"/>
    <w:pPr>
      <w:spacing w:after="0" w:line="240" w:lineRule="auto"/>
    </w:pPr>
    <w:rPr>
      <w:rFonts w:ascii="Times New Roman" w:eastAsia="SimSun" w:hAnsi="Times New Roman" w:cs="Times New Roman"/>
      <w:sz w:val="24"/>
      <w:szCs w:val="24"/>
      <w:lang w:eastAsia="zh-CN"/>
    </w:rPr>
  </w:style>
  <w:style w:type="paragraph" w:styleId="1">
    <w:name w:val="heading 1"/>
    <w:basedOn w:val="a"/>
    <w:link w:val="1Char"/>
    <w:uiPriority w:val="9"/>
    <w:qFormat/>
    <w:rsid w:val="0035143E"/>
    <w:pPr>
      <w:spacing w:before="100" w:beforeAutospacing="1" w:after="100" w:afterAutospacing="1"/>
      <w:outlineLvl w:val="0"/>
    </w:pPr>
    <w:rPr>
      <w:rFonts w:eastAsia="Times New Roman"/>
      <w:b/>
      <w:bCs/>
      <w:kern w:val="36"/>
      <w:sz w:val="48"/>
      <w:szCs w:val="48"/>
      <w:lang w:eastAsia="fr-FR"/>
    </w:rPr>
  </w:style>
  <w:style w:type="paragraph" w:styleId="2">
    <w:name w:val="heading 2"/>
    <w:basedOn w:val="a"/>
    <w:link w:val="2Char"/>
    <w:uiPriority w:val="9"/>
    <w:qFormat/>
    <w:rsid w:val="0035143E"/>
    <w:pPr>
      <w:spacing w:before="100" w:beforeAutospacing="1" w:after="100" w:afterAutospacing="1"/>
      <w:outlineLvl w:val="1"/>
    </w:pPr>
    <w:rPr>
      <w:rFonts w:eastAsia="Times New Roman"/>
      <w:b/>
      <w:bCs/>
      <w:sz w:val="36"/>
      <w:szCs w:val="36"/>
      <w:lang w:eastAsia="fr-FR"/>
    </w:rPr>
  </w:style>
  <w:style w:type="paragraph" w:styleId="3">
    <w:name w:val="heading 3"/>
    <w:basedOn w:val="a"/>
    <w:link w:val="3Char"/>
    <w:uiPriority w:val="9"/>
    <w:qFormat/>
    <w:rsid w:val="0035143E"/>
    <w:pPr>
      <w:spacing w:before="100" w:beforeAutospacing="1" w:after="100" w:afterAutospacing="1"/>
      <w:outlineLvl w:val="2"/>
    </w:pPr>
    <w:rPr>
      <w:rFonts w:eastAsia="Times New Roman"/>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5143E"/>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rsid w:val="0035143E"/>
    <w:rPr>
      <w:rFonts w:ascii="Times New Roman" w:eastAsia="Times New Roman" w:hAnsi="Times New Roman" w:cs="Times New Roman"/>
      <w:b/>
      <w:bCs/>
      <w:sz w:val="36"/>
      <w:szCs w:val="36"/>
      <w:lang w:eastAsia="fr-FR"/>
    </w:rPr>
  </w:style>
  <w:style w:type="character" w:customStyle="1" w:styleId="3Char">
    <w:name w:val="عنوان 3 Char"/>
    <w:basedOn w:val="a0"/>
    <w:link w:val="3"/>
    <w:uiPriority w:val="9"/>
    <w:rsid w:val="0035143E"/>
    <w:rPr>
      <w:rFonts w:ascii="Times New Roman" w:eastAsia="Times New Roman" w:hAnsi="Times New Roman" w:cs="Times New Roman"/>
      <w:b/>
      <w:bCs/>
      <w:sz w:val="27"/>
      <w:szCs w:val="27"/>
      <w:lang w:eastAsia="fr-FR"/>
    </w:rPr>
  </w:style>
  <w:style w:type="character" w:customStyle="1" w:styleId="date">
    <w:name w:val="date"/>
    <w:basedOn w:val="a0"/>
    <w:rsid w:val="0035143E"/>
  </w:style>
  <w:style w:type="paragraph" w:styleId="a3">
    <w:name w:val="Normal (Web)"/>
    <w:basedOn w:val="a"/>
    <w:uiPriority w:val="99"/>
    <w:unhideWhenUsed/>
    <w:rsid w:val="0035143E"/>
    <w:pPr>
      <w:spacing w:before="100" w:beforeAutospacing="1" w:after="100" w:afterAutospacing="1"/>
    </w:pPr>
    <w:rPr>
      <w:rFonts w:eastAsia="Times New Roman"/>
      <w:lang w:eastAsia="fr-FR"/>
    </w:rPr>
  </w:style>
  <w:style w:type="character" w:styleId="Hyperlink">
    <w:name w:val="Hyperlink"/>
    <w:basedOn w:val="a0"/>
    <w:uiPriority w:val="99"/>
    <w:semiHidden/>
    <w:unhideWhenUsed/>
    <w:rsid w:val="0035143E"/>
    <w:rPr>
      <w:color w:val="0000FF"/>
      <w:u w:val="single"/>
    </w:rPr>
  </w:style>
  <w:style w:type="character" w:customStyle="1" w:styleId="label">
    <w:name w:val="label"/>
    <w:basedOn w:val="a0"/>
    <w:rsid w:val="0035143E"/>
  </w:style>
  <w:style w:type="paragraph" w:styleId="a4">
    <w:name w:val="HTML Top of Form"/>
    <w:basedOn w:val="a"/>
    <w:next w:val="a"/>
    <w:link w:val="Char"/>
    <w:hidden/>
    <w:uiPriority w:val="99"/>
    <w:semiHidden/>
    <w:unhideWhenUsed/>
    <w:rsid w:val="0035143E"/>
    <w:pPr>
      <w:pBdr>
        <w:bottom w:val="single" w:sz="6" w:space="1" w:color="auto"/>
      </w:pBdr>
      <w:jc w:val="center"/>
    </w:pPr>
    <w:rPr>
      <w:rFonts w:ascii="Arial" w:eastAsia="Times New Roman" w:hAnsi="Arial" w:cs="Arial"/>
      <w:vanish/>
      <w:sz w:val="16"/>
      <w:szCs w:val="16"/>
      <w:lang w:eastAsia="fr-FR"/>
    </w:rPr>
  </w:style>
  <w:style w:type="character" w:customStyle="1" w:styleId="Char">
    <w:name w:val="أعلى النموذج Char"/>
    <w:basedOn w:val="a0"/>
    <w:link w:val="a4"/>
    <w:uiPriority w:val="99"/>
    <w:semiHidden/>
    <w:rsid w:val="0035143E"/>
    <w:rPr>
      <w:rFonts w:ascii="Arial" w:eastAsia="Times New Roman" w:hAnsi="Arial" w:cs="Arial"/>
      <w:vanish/>
      <w:sz w:val="16"/>
      <w:szCs w:val="16"/>
      <w:lang w:eastAsia="fr-FR"/>
    </w:rPr>
  </w:style>
  <w:style w:type="paragraph" w:styleId="a5">
    <w:name w:val="HTML Bottom of Form"/>
    <w:basedOn w:val="a"/>
    <w:next w:val="a"/>
    <w:link w:val="Char0"/>
    <w:hidden/>
    <w:uiPriority w:val="99"/>
    <w:semiHidden/>
    <w:unhideWhenUsed/>
    <w:rsid w:val="0035143E"/>
    <w:pPr>
      <w:pBdr>
        <w:top w:val="single" w:sz="6" w:space="1" w:color="auto"/>
      </w:pBdr>
      <w:jc w:val="center"/>
    </w:pPr>
    <w:rPr>
      <w:rFonts w:ascii="Arial" w:eastAsia="Times New Roman" w:hAnsi="Arial" w:cs="Arial"/>
      <w:vanish/>
      <w:sz w:val="16"/>
      <w:szCs w:val="16"/>
      <w:lang w:eastAsia="fr-FR"/>
    </w:rPr>
  </w:style>
  <w:style w:type="character" w:customStyle="1" w:styleId="Char0">
    <w:name w:val="أسفل النموذج Char"/>
    <w:basedOn w:val="a0"/>
    <w:link w:val="a5"/>
    <w:uiPriority w:val="99"/>
    <w:semiHidden/>
    <w:rsid w:val="0035143E"/>
    <w:rPr>
      <w:rFonts w:ascii="Arial" w:eastAsia="Times New Roman" w:hAnsi="Arial" w:cs="Arial"/>
      <w:vanish/>
      <w:sz w:val="16"/>
      <w:szCs w:val="16"/>
      <w:lang w:eastAsia="fr-FR"/>
    </w:rPr>
  </w:style>
  <w:style w:type="paragraph" w:styleId="a6">
    <w:name w:val="List Paragraph"/>
    <w:basedOn w:val="a"/>
    <w:uiPriority w:val="34"/>
    <w:qFormat/>
    <w:rsid w:val="0035143E"/>
    <w:pPr>
      <w:ind w:left="720"/>
      <w:contextualSpacing/>
    </w:pPr>
  </w:style>
  <w:style w:type="character" w:styleId="a7">
    <w:name w:val="Strong"/>
    <w:basedOn w:val="a0"/>
    <w:uiPriority w:val="22"/>
    <w:qFormat/>
    <w:rsid w:val="0041591C"/>
    <w:rPr>
      <w:b/>
      <w:bCs/>
    </w:rPr>
  </w:style>
  <w:style w:type="character" w:styleId="a8">
    <w:name w:val="Emphasis"/>
    <w:basedOn w:val="a0"/>
    <w:uiPriority w:val="20"/>
    <w:qFormat/>
    <w:rsid w:val="00EF2F1D"/>
    <w:rPr>
      <w:i/>
      <w:iCs/>
    </w:rPr>
  </w:style>
  <w:style w:type="table" w:styleId="a9">
    <w:name w:val="Table Grid"/>
    <w:basedOn w:val="a1"/>
    <w:uiPriority w:val="59"/>
    <w:rsid w:val="000643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Char1"/>
    <w:uiPriority w:val="99"/>
    <w:unhideWhenUsed/>
    <w:rsid w:val="00AE480F"/>
    <w:pPr>
      <w:tabs>
        <w:tab w:val="center" w:pos="4536"/>
        <w:tab w:val="right" w:pos="9072"/>
      </w:tabs>
    </w:pPr>
  </w:style>
  <w:style w:type="character" w:customStyle="1" w:styleId="Char1">
    <w:name w:val="رأس صفحة Char"/>
    <w:basedOn w:val="a0"/>
    <w:link w:val="aa"/>
    <w:uiPriority w:val="99"/>
    <w:rsid w:val="00AE480F"/>
    <w:rPr>
      <w:rFonts w:ascii="Times New Roman" w:eastAsia="SimSun" w:hAnsi="Times New Roman" w:cs="Times New Roman"/>
      <w:sz w:val="24"/>
      <w:szCs w:val="24"/>
      <w:lang w:eastAsia="zh-CN"/>
    </w:rPr>
  </w:style>
  <w:style w:type="paragraph" w:styleId="ab">
    <w:name w:val="footer"/>
    <w:basedOn w:val="a"/>
    <w:link w:val="Char2"/>
    <w:uiPriority w:val="99"/>
    <w:unhideWhenUsed/>
    <w:rsid w:val="00AE480F"/>
    <w:pPr>
      <w:tabs>
        <w:tab w:val="center" w:pos="4536"/>
        <w:tab w:val="right" w:pos="9072"/>
      </w:tabs>
    </w:pPr>
  </w:style>
  <w:style w:type="character" w:customStyle="1" w:styleId="Char2">
    <w:name w:val="تذييل صفحة Char"/>
    <w:basedOn w:val="a0"/>
    <w:link w:val="ab"/>
    <w:uiPriority w:val="99"/>
    <w:rsid w:val="00AE480F"/>
    <w:rPr>
      <w:rFonts w:ascii="Times New Roman" w:eastAsia="SimSun" w:hAnsi="Times New Roman" w:cs="Times New Roman"/>
      <w:sz w:val="24"/>
      <w:szCs w:val="24"/>
      <w:lang w:eastAsia="zh-CN"/>
    </w:rPr>
  </w:style>
  <w:style w:type="paragraph" w:styleId="ac">
    <w:name w:val="No Spacing"/>
    <w:link w:val="Char3"/>
    <w:uiPriority w:val="1"/>
    <w:qFormat/>
    <w:rsid w:val="007A2802"/>
    <w:pPr>
      <w:bidi/>
      <w:spacing w:after="0" w:line="240" w:lineRule="auto"/>
    </w:pPr>
    <w:rPr>
      <w:rFonts w:eastAsiaTheme="minorEastAsia"/>
      <w:lang w:val="en-US"/>
    </w:rPr>
  </w:style>
  <w:style w:type="character" w:customStyle="1" w:styleId="Char3">
    <w:name w:val="بلا تباعد Char"/>
    <w:basedOn w:val="a0"/>
    <w:link w:val="ac"/>
    <w:uiPriority w:val="1"/>
    <w:rsid w:val="007A2802"/>
    <w:rPr>
      <w:rFonts w:eastAsiaTheme="minorEastAsia"/>
      <w:lang w:val="en-US"/>
    </w:rPr>
  </w:style>
  <w:style w:type="paragraph" w:styleId="ad">
    <w:name w:val="Balloon Text"/>
    <w:basedOn w:val="a"/>
    <w:link w:val="Char4"/>
    <w:uiPriority w:val="99"/>
    <w:semiHidden/>
    <w:unhideWhenUsed/>
    <w:rsid w:val="007A2802"/>
    <w:rPr>
      <w:rFonts w:ascii="Tahoma" w:hAnsi="Tahoma" w:cs="Tahoma"/>
      <w:sz w:val="16"/>
      <w:szCs w:val="16"/>
    </w:rPr>
  </w:style>
  <w:style w:type="character" w:customStyle="1" w:styleId="Char4">
    <w:name w:val="نص في بالون Char"/>
    <w:basedOn w:val="a0"/>
    <w:link w:val="ad"/>
    <w:uiPriority w:val="99"/>
    <w:semiHidden/>
    <w:rsid w:val="007A2802"/>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1395278">
      <w:bodyDiv w:val="1"/>
      <w:marLeft w:val="0"/>
      <w:marRight w:val="0"/>
      <w:marTop w:val="0"/>
      <w:marBottom w:val="0"/>
      <w:divBdr>
        <w:top w:val="none" w:sz="0" w:space="0" w:color="auto"/>
        <w:left w:val="none" w:sz="0" w:space="0" w:color="auto"/>
        <w:bottom w:val="none" w:sz="0" w:space="0" w:color="auto"/>
        <w:right w:val="none" w:sz="0" w:space="0" w:color="auto"/>
      </w:divBdr>
    </w:div>
    <w:div w:id="111629187">
      <w:bodyDiv w:val="1"/>
      <w:marLeft w:val="0"/>
      <w:marRight w:val="0"/>
      <w:marTop w:val="0"/>
      <w:marBottom w:val="0"/>
      <w:divBdr>
        <w:top w:val="none" w:sz="0" w:space="0" w:color="auto"/>
        <w:left w:val="none" w:sz="0" w:space="0" w:color="auto"/>
        <w:bottom w:val="none" w:sz="0" w:space="0" w:color="auto"/>
        <w:right w:val="none" w:sz="0" w:space="0" w:color="auto"/>
      </w:divBdr>
    </w:div>
    <w:div w:id="430787179">
      <w:bodyDiv w:val="1"/>
      <w:marLeft w:val="0"/>
      <w:marRight w:val="0"/>
      <w:marTop w:val="0"/>
      <w:marBottom w:val="0"/>
      <w:divBdr>
        <w:top w:val="none" w:sz="0" w:space="0" w:color="auto"/>
        <w:left w:val="none" w:sz="0" w:space="0" w:color="auto"/>
        <w:bottom w:val="none" w:sz="0" w:space="0" w:color="auto"/>
        <w:right w:val="none" w:sz="0" w:space="0" w:color="auto"/>
      </w:divBdr>
    </w:div>
    <w:div w:id="753743313">
      <w:bodyDiv w:val="1"/>
      <w:marLeft w:val="0"/>
      <w:marRight w:val="0"/>
      <w:marTop w:val="0"/>
      <w:marBottom w:val="0"/>
      <w:divBdr>
        <w:top w:val="none" w:sz="0" w:space="0" w:color="auto"/>
        <w:left w:val="none" w:sz="0" w:space="0" w:color="auto"/>
        <w:bottom w:val="none" w:sz="0" w:space="0" w:color="auto"/>
        <w:right w:val="none" w:sz="0" w:space="0" w:color="auto"/>
      </w:divBdr>
    </w:div>
    <w:div w:id="856583506">
      <w:bodyDiv w:val="1"/>
      <w:marLeft w:val="0"/>
      <w:marRight w:val="0"/>
      <w:marTop w:val="0"/>
      <w:marBottom w:val="0"/>
      <w:divBdr>
        <w:top w:val="none" w:sz="0" w:space="0" w:color="auto"/>
        <w:left w:val="none" w:sz="0" w:space="0" w:color="auto"/>
        <w:bottom w:val="none" w:sz="0" w:space="0" w:color="auto"/>
        <w:right w:val="none" w:sz="0" w:space="0" w:color="auto"/>
      </w:divBdr>
    </w:div>
    <w:div w:id="953639129">
      <w:bodyDiv w:val="1"/>
      <w:marLeft w:val="0"/>
      <w:marRight w:val="0"/>
      <w:marTop w:val="0"/>
      <w:marBottom w:val="0"/>
      <w:divBdr>
        <w:top w:val="none" w:sz="0" w:space="0" w:color="auto"/>
        <w:left w:val="none" w:sz="0" w:space="0" w:color="auto"/>
        <w:bottom w:val="none" w:sz="0" w:space="0" w:color="auto"/>
        <w:right w:val="none" w:sz="0" w:space="0" w:color="auto"/>
      </w:divBdr>
    </w:div>
    <w:div w:id="1218198238">
      <w:bodyDiv w:val="1"/>
      <w:marLeft w:val="0"/>
      <w:marRight w:val="0"/>
      <w:marTop w:val="0"/>
      <w:marBottom w:val="0"/>
      <w:divBdr>
        <w:top w:val="none" w:sz="0" w:space="0" w:color="auto"/>
        <w:left w:val="none" w:sz="0" w:space="0" w:color="auto"/>
        <w:bottom w:val="none" w:sz="0" w:space="0" w:color="auto"/>
        <w:right w:val="none" w:sz="0" w:space="0" w:color="auto"/>
      </w:divBdr>
      <w:divsChild>
        <w:div w:id="1103107847">
          <w:marLeft w:val="0"/>
          <w:marRight w:val="0"/>
          <w:marTop w:val="0"/>
          <w:marBottom w:val="0"/>
          <w:divBdr>
            <w:top w:val="none" w:sz="0" w:space="0" w:color="auto"/>
            <w:left w:val="none" w:sz="0" w:space="0" w:color="auto"/>
            <w:bottom w:val="none" w:sz="0" w:space="0" w:color="auto"/>
            <w:right w:val="none" w:sz="0" w:space="0" w:color="auto"/>
          </w:divBdr>
          <w:divsChild>
            <w:div w:id="471483719">
              <w:marLeft w:val="0"/>
              <w:marRight w:val="0"/>
              <w:marTop w:val="0"/>
              <w:marBottom w:val="0"/>
              <w:divBdr>
                <w:top w:val="none" w:sz="0" w:space="0" w:color="auto"/>
                <w:left w:val="none" w:sz="0" w:space="0" w:color="auto"/>
                <w:bottom w:val="none" w:sz="0" w:space="0" w:color="auto"/>
                <w:right w:val="none" w:sz="0" w:space="0" w:color="auto"/>
              </w:divBdr>
            </w:div>
          </w:divsChild>
        </w:div>
        <w:div w:id="1631665859">
          <w:marLeft w:val="0"/>
          <w:marRight w:val="0"/>
          <w:marTop w:val="0"/>
          <w:marBottom w:val="0"/>
          <w:divBdr>
            <w:top w:val="none" w:sz="0" w:space="0" w:color="auto"/>
            <w:left w:val="none" w:sz="0" w:space="0" w:color="auto"/>
            <w:bottom w:val="none" w:sz="0" w:space="0" w:color="auto"/>
            <w:right w:val="none" w:sz="0" w:space="0" w:color="auto"/>
          </w:divBdr>
          <w:divsChild>
            <w:div w:id="23294270">
              <w:marLeft w:val="0"/>
              <w:marRight w:val="0"/>
              <w:marTop w:val="0"/>
              <w:marBottom w:val="0"/>
              <w:divBdr>
                <w:top w:val="none" w:sz="0" w:space="0" w:color="auto"/>
                <w:left w:val="none" w:sz="0" w:space="0" w:color="auto"/>
                <w:bottom w:val="none" w:sz="0" w:space="0" w:color="auto"/>
                <w:right w:val="none" w:sz="0" w:space="0" w:color="auto"/>
              </w:divBdr>
            </w:div>
            <w:div w:id="217514914">
              <w:marLeft w:val="0"/>
              <w:marRight w:val="0"/>
              <w:marTop w:val="0"/>
              <w:marBottom w:val="0"/>
              <w:divBdr>
                <w:top w:val="none" w:sz="0" w:space="0" w:color="auto"/>
                <w:left w:val="none" w:sz="0" w:space="0" w:color="auto"/>
                <w:bottom w:val="none" w:sz="0" w:space="0" w:color="auto"/>
                <w:right w:val="none" w:sz="0" w:space="0" w:color="auto"/>
              </w:divBdr>
              <w:divsChild>
                <w:div w:id="544679702">
                  <w:marLeft w:val="0"/>
                  <w:marRight w:val="0"/>
                  <w:marTop w:val="0"/>
                  <w:marBottom w:val="0"/>
                  <w:divBdr>
                    <w:top w:val="none" w:sz="0" w:space="0" w:color="auto"/>
                    <w:left w:val="none" w:sz="0" w:space="0" w:color="auto"/>
                    <w:bottom w:val="none" w:sz="0" w:space="0" w:color="auto"/>
                    <w:right w:val="none" w:sz="0" w:space="0" w:color="auto"/>
                  </w:divBdr>
                  <w:divsChild>
                    <w:div w:id="3171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7915">
          <w:marLeft w:val="0"/>
          <w:marRight w:val="0"/>
          <w:marTop w:val="0"/>
          <w:marBottom w:val="0"/>
          <w:divBdr>
            <w:top w:val="none" w:sz="0" w:space="0" w:color="auto"/>
            <w:left w:val="none" w:sz="0" w:space="0" w:color="auto"/>
            <w:bottom w:val="none" w:sz="0" w:space="0" w:color="auto"/>
            <w:right w:val="none" w:sz="0" w:space="0" w:color="auto"/>
          </w:divBdr>
          <w:divsChild>
            <w:div w:id="2008824301">
              <w:marLeft w:val="0"/>
              <w:marRight w:val="0"/>
              <w:marTop w:val="0"/>
              <w:marBottom w:val="0"/>
              <w:divBdr>
                <w:top w:val="none" w:sz="0" w:space="0" w:color="auto"/>
                <w:left w:val="none" w:sz="0" w:space="0" w:color="auto"/>
                <w:bottom w:val="none" w:sz="0" w:space="0" w:color="auto"/>
                <w:right w:val="none" w:sz="0" w:space="0" w:color="auto"/>
              </w:divBdr>
              <w:divsChild>
                <w:div w:id="1978753224">
                  <w:marLeft w:val="0"/>
                  <w:marRight w:val="0"/>
                  <w:marTop w:val="0"/>
                  <w:marBottom w:val="0"/>
                  <w:divBdr>
                    <w:top w:val="none" w:sz="0" w:space="0" w:color="auto"/>
                    <w:left w:val="none" w:sz="0" w:space="0" w:color="auto"/>
                    <w:bottom w:val="none" w:sz="0" w:space="0" w:color="auto"/>
                    <w:right w:val="none" w:sz="0" w:space="0" w:color="auto"/>
                  </w:divBdr>
                  <w:divsChild>
                    <w:div w:id="549000523">
                      <w:marLeft w:val="0"/>
                      <w:marRight w:val="0"/>
                      <w:marTop w:val="0"/>
                      <w:marBottom w:val="0"/>
                      <w:divBdr>
                        <w:top w:val="none" w:sz="0" w:space="0" w:color="auto"/>
                        <w:left w:val="none" w:sz="0" w:space="0" w:color="auto"/>
                        <w:bottom w:val="none" w:sz="0" w:space="0" w:color="auto"/>
                        <w:right w:val="none" w:sz="0" w:space="0" w:color="auto"/>
                      </w:divBdr>
                      <w:divsChild>
                        <w:div w:id="186843394">
                          <w:marLeft w:val="0"/>
                          <w:marRight w:val="0"/>
                          <w:marTop w:val="0"/>
                          <w:marBottom w:val="0"/>
                          <w:divBdr>
                            <w:top w:val="none" w:sz="0" w:space="0" w:color="auto"/>
                            <w:left w:val="none" w:sz="0" w:space="0" w:color="auto"/>
                            <w:bottom w:val="none" w:sz="0" w:space="0" w:color="auto"/>
                            <w:right w:val="none" w:sz="0" w:space="0" w:color="auto"/>
                          </w:divBdr>
                          <w:divsChild>
                            <w:div w:id="459034266">
                              <w:marLeft w:val="0"/>
                              <w:marRight w:val="0"/>
                              <w:marTop w:val="0"/>
                              <w:marBottom w:val="0"/>
                              <w:divBdr>
                                <w:top w:val="none" w:sz="0" w:space="0" w:color="auto"/>
                                <w:left w:val="none" w:sz="0" w:space="0" w:color="auto"/>
                                <w:bottom w:val="none" w:sz="0" w:space="0" w:color="auto"/>
                                <w:right w:val="none" w:sz="0" w:space="0" w:color="auto"/>
                              </w:divBdr>
                              <w:divsChild>
                                <w:div w:id="15495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8658">
              <w:marLeft w:val="0"/>
              <w:marRight w:val="0"/>
              <w:marTop w:val="0"/>
              <w:marBottom w:val="0"/>
              <w:divBdr>
                <w:top w:val="none" w:sz="0" w:space="0" w:color="auto"/>
                <w:left w:val="none" w:sz="0" w:space="0" w:color="auto"/>
                <w:bottom w:val="none" w:sz="0" w:space="0" w:color="auto"/>
                <w:right w:val="none" w:sz="0" w:space="0" w:color="auto"/>
              </w:divBdr>
              <w:divsChild>
                <w:div w:id="1322392041">
                  <w:marLeft w:val="0"/>
                  <w:marRight w:val="0"/>
                  <w:marTop w:val="0"/>
                  <w:marBottom w:val="0"/>
                  <w:divBdr>
                    <w:top w:val="none" w:sz="0" w:space="0" w:color="auto"/>
                    <w:left w:val="none" w:sz="0" w:space="0" w:color="auto"/>
                    <w:bottom w:val="none" w:sz="0" w:space="0" w:color="auto"/>
                    <w:right w:val="none" w:sz="0" w:space="0" w:color="auto"/>
                  </w:divBdr>
                </w:div>
                <w:div w:id="45302133">
                  <w:marLeft w:val="0"/>
                  <w:marRight w:val="0"/>
                  <w:marTop w:val="0"/>
                  <w:marBottom w:val="0"/>
                  <w:divBdr>
                    <w:top w:val="none" w:sz="0" w:space="0" w:color="auto"/>
                    <w:left w:val="none" w:sz="0" w:space="0" w:color="auto"/>
                    <w:bottom w:val="none" w:sz="0" w:space="0" w:color="auto"/>
                    <w:right w:val="none" w:sz="0" w:space="0" w:color="auto"/>
                  </w:divBdr>
                  <w:divsChild>
                    <w:div w:id="2101485453">
                      <w:marLeft w:val="0"/>
                      <w:marRight w:val="0"/>
                      <w:marTop w:val="0"/>
                      <w:marBottom w:val="0"/>
                      <w:divBdr>
                        <w:top w:val="none" w:sz="0" w:space="0" w:color="auto"/>
                        <w:left w:val="none" w:sz="0" w:space="0" w:color="auto"/>
                        <w:bottom w:val="none" w:sz="0" w:space="0" w:color="auto"/>
                        <w:right w:val="none" w:sz="0" w:space="0" w:color="auto"/>
                      </w:divBdr>
                      <w:divsChild>
                        <w:div w:id="245309897">
                          <w:marLeft w:val="0"/>
                          <w:marRight w:val="0"/>
                          <w:marTop w:val="0"/>
                          <w:marBottom w:val="0"/>
                          <w:divBdr>
                            <w:top w:val="none" w:sz="0" w:space="0" w:color="auto"/>
                            <w:left w:val="none" w:sz="0" w:space="0" w:color="auto"/>
                            <w:bottom w:val="none" w:sz="0" w:space="0" w:color="auto"/>
                            <w:right w:val="none" w:sz="0" w:space="0" w:color="auto"/>
                          </w:divBdr>
                        </w:div>
                        <w:div w:id="995261856">
                          <w:marLeft w:val="0"/>
                          <w:marRight w:val="0"/>
                          <w:marTop w:val="0"/>
                          <w:marBottom w:val="0"/>
                          <w:divBdr>
                            <w:top w:val="none" w:sz="0" w:space="0" w:color="auto"/>
                            <w:left w:val="none" w:sz="0" w:space="0" w:color="auto"/>
                            <w:bottom w:val="none" w:sz="0" w:space="0" w:color="auto"/>
                            <w:right w:val="none" w:sz="0" w:space="0" w:color="auto"/>
                          </w:divBdr>
                        </w:div>
                        <w:div w:id="1946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4031">
          <w:marLeft w:val="0"/>
          <w:marRight w:val="0"/>
          <w:marTop w:val="0"/>
          <w:marBottom w:val="0"/>
          <w:divBdr>
            <w:top w:val="none" w:sz="0" w:space="0" w:color="auto"/>
            <w:left w:val="none" w:sz="0" w:space="0" w:color="auto"/>
            <w:bottom w:val="none" w:sz="0" w:space="0" w:color="auto"/>
            <w:right w:val="none" w:sz="0" w:space="0" w:color="auto"/>
          </w:divBdr>
          <w:divsChild>
            <w:div w:id="1488593184">
              <w:marLeft w:val="0"/>
              <w:marRight w:val="0"/>
              <w:marTop w:val="0"/>
              <w:marBottom w:val="0"/>
              <w:divBdr>
                <w:top w:val="none" w:sz="0" w:space="0" w:color="auto"/>
                <w:left w:val="none" w:sz="0" w:space="0" w:color="auto"/>
                <w:bottom w:val="none" w:sz="0" w:space="0" w:color="auto"/>
                <w:right w:val="none" w:sz="0" w:space="0" w:color="auto"/>
              </w:divBdr>
              <w:divsChild>
                <w:div w:id="641616936">
                  <w:marLeft w:val="0"/>
                  <w:marRight w:val="0"/>
                  <w:marTop w:val="0"/>
                  <w:marBottom w:val="0"/>
                  <w:divBdr>
                    <w:top w:val="none" w:sz="0" w:space="0" w:color="auto"/>
                    <w:left w:val="none" w:sz="0" w:space="0" w:color="auto"/>
                    <w:bottom w:val="none" w:sz="0" w:space="0" w:color="auto"/>
                    <w:right w:val="none" w:sz="0" w:space="0" w:color="auto"/>
                  </w:divBdr>
                </w:div>
                <w:div w:id="1314136251">
                  <w:marLeft w:val="0"/>
                  <w:marRight w:val="0"/>
                  <w:marTop w:val="0"/>
                  <w:marBottom w:val="0"/>
                  <w:divBdr>
                    <w:top w:val="none" w:sz="0" w:space="0" w:color="auto"/>
                    <w:left w:val="none" w:sz="0" w:space="0" w:color="auto"/>
                    <w:bottom w:val="none" w:sz="0" w:space="0" w:color="auto"/>
                    <w:right w:val="none" w:sz="0" w:space="0" w:color="auto"/>
                  </w:divBdr>
                </w:div>
                <w:div w:id="446899723">
                  <w:marLeft w:val="0"/>
                  <w:marRight w:val="0"/>
                  <w:marTop w:val="0"/>
                  <w:marBottom w:val="0"/>
                  <w:divBdr>
                    <w:top w:val="none" w:sz="0" w:space="0" w:color="auto"/>
                    <w:left w:val="none" w:sz="0" w:space="0" w:color="auto"/>
                    <w:bottom w:val="none" w:sz="0" w:space="0" w:color="auto"/>
                    <w:right w:val="none" w:sz="0" w:space="0" w:color="auto"/>
                  </w:divBdr>
                </w:div>
                <w:div w:id="1602641025">
                  <w:marLeft w:val="0"/>
                  <w:marRight w:val="0"/>
                  <w:marTop w:val="0"/>
                  <w:marBottom w:val="0"/>
                  <w:divBdr>
                    <w:top w:val="none" w:sz="0" w:space="0" w:color="auto"/>
                    <w:left w:val="none" w:sz="0" w:space="0" w:color="auto"/>
                    <w:bottom w:val="none" w:sz="0" w:space="0" w:color="auto"/>
                    <w:right w:val="none" w:sz="0" w:space="0" w:color="auto"/>
                  </w:divBdr>
                  <w:divsChild>
                    <w:div w:id="1988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5883">
          <w:marLeft w:val="0"/>
          <w:marRight w:val="0"/>
          <w:marTop w:val="0"/>
          <w:marBottom w:val="0"/>
          <w:divBdr>
            <w:top w:val="none" w:sz="0" w:space="0" w:color="auto"/>
            <w:left w:val="none" w:sz="0" w:space="0" w:color="auto"/>
            <w:bottom w:val="none" w:sz="0" w:space="0" w:color="auto"/>
            <w:right w:val="none" w:sz="0" w:space="0" w:color="auto"/>
          </w:divBdr>
          <w:divsChild>
            <w:div w:id="859512158">
              <w:marLeft w:val="0"/>
              <w:marRight w:val="0"/>
              <w:marTop w:val="0"/>
              <w:marBottom w:val="0"/>
              <w:divBdr>
                <w:top w:val="none" w:sz="0" w:space="0" w:color="auto"/>
                <w:left w:val="none" w:sz="0" w:space="0" w:color="auto"/>
                <w:bottom w:val="none" w:sz="0" w:space="0" w:color="auto"/>
                <w:right w:val="none" w:sz="0" w:space="0" w:color="auto"/>
              </w:divBdr>
            </w:div>
            <w:div w:id="481310761">
              <w:marLeft w:val="0"/>
              <w:marRight w:val="0"/>
              <w:marTop w:val="0"/>
              <w:marBottom w:val="0"/>
              <w:divBdr>
                <w:top w:val="none" w:sz="0" w:space="0" w:color="auto"/>
                <w:left w:val="none" w:sz="0" w:space="0" w:color="auto"/>
                <w:bottom w:val="none" w:sz="0" w:space="0" w:color="auto"/>
                <w:right w:val="none" w:sz="0" w:space="0" w:color="auto"/>
              </w:divBdr>
            </w:div>
          </w:divsChild>
        </w:div>
        <w:div w:id="1079908699">
          <w:marLeft w:val="0"/>
          <w:marRight w:val="0"/>
          <w:marTop w:val="0"/>
          <w:marBottom w:val="0"/>
          <w:divBdr>
            <w:top w:val="none" w:sz="0" w:space="0" w:color="auto"/>
            <w:left w:val="none" w:sz="0" w:space="0" w:color="auto"/>
            <w:bottom w:val="none" w:sz="0" w:space="0" w:color="auto"/>
            <w:right w:val="none" w:sz="0" w:space="0" w:color="auto"/>
          </w:divBdr>
        </w:div>
      </w:divsChild>
    </w:div>
    <w:div w:id="1439137313">
      <w:bodyDiv w:val="1"/>
      <w:marLeft w:val="0"/>
      <w:marRight w:val="0"/>
      <w:marTop w:val="0"/>
      <w:marBottom w:val="0"/>
      <w:divBdr>
        <w:top w:val="none" w:sz="0" w:space="0" w:color="auto"/>
        <w:left w:val="none" w:sz="0" w:space="0" w:color="auto"/>
        <w:bottom w:val="none" w:sz="0" w:space="0" w:color="auto"/>
        <w:right w:val="none" w:sz="0" w:space="0" w:color="auto"/>
      </w:divBdr>
    </w:div>
    <w:div w:id="1540780813">
      <w:bodyDiv w:val="1"/>
      <w:marLeft w:val="0"/>
      <w:marRight w:val="0"/>
      <w:marTop w:val="0"/>
      <w:marBottom w:val="0"/>
      <w:divBdr>
        <w:top w:val="none" w:sz="0" w:space="0" w:color="auto"/>
        <w:left w:val="none" w:sz="0" w:space="0" w:color="auto"/>
        <w:bottom w:val="none" w:sz="0" w:space="0" w:color="auto"/>
        <w:right w:val="none" w:sz="0" w:space="0" w:color="auto"/>
      </w:divBdr>
    </w:div>
    <w:div w:id="1770542124">
      <w:bodyDiv w:val="1"/>
      <w:marLeft w:val="0"/>
      <w:marRight w:val="0"/>
      <w:marTop w:val="0"/>
      <w:marBottom w:val="0"/>
      <w:divBdr>
        <w:top w:val="none" w:sz="0" w:space="0" w:color="auto"/>
        <w:left w:val="none" w:sz="0" w:space="0" w:color="auto"/>
        <w:bottom w:val="none" w:sz="0" w:space="0" w:color="auto"/>
        <w:right w:val="none" w:sz="0" w:space="0" w:color="auto"/>
      </w:divBdr>
    </w:div>
    <w:div w:id="1968318747">
      <w:bodyDiv w:val="1"/>
      <w:marLeft w:val="0"/>
      <w:marRight w:val="0"/>
      <w:marTop w:val="0"/>
      <w:marBottom w:val="0"/>
      <w:divBdr>
        <w:top w:val="none" w:sz="0" w:space="0" w:color="auto"/>
        <w:left w:val="none" w:sz="0" w:space="0" w:color="auto"/>
        <w:bottom w:val="none" w:sz="0" w:space="0" w:color="auto"/>
        <w:right w:val="none" w:sz="0" w:space="0" w:color="auto"/>
      </w:divBdr>
    </w:div>
    <w:div w:id="20699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r.wikipedia.org/wiki/Toxoplasma_gondii" TargetMode="External"/><Relationship Id="rId18" Type="http://schemas.openxmlformats.org/officeDocument/2006/relationships/hyperlink" Target="http://www.who.int/water_sanitation_health/diseases/ascariasis/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ho.int/mediacentre/factsheets/fs377/fr/" TargetMode="External"/><Relationship Id="rId17" Type="http://schemas.openxmlformats.org/officeDocument/2006/relationships/hyperlink" Target="http://www.who.int/mediacentre/factsheets/fs368/fr/" TargetMode="External"/><Relationship Id="rId2" Type="http://schemas.openxmlformats.org/officeDocument/2006/relationships/numbering" Target="numbering.xml"/><Relationship Id="rId16" Type="http://schemas.openxmlformats.org/officeDocument/2006/relationships/hyperlink" Target="http://fr.wikipedia.org/wiki/Trichinella_spiral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mediacentre/factsheets/fs377/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steur.fr/fr/institut-pasteur/presse/fiches-info/amibiase" TargetMode="External"/><Relationship Id="rId23" Type="http://schemas.openxmlformats.org/officeDocument/2006/relationships/glossaryDocument" Target="glossary/document.xml"/><Relationship Id="rId10" Type="http://schemas.openxmlformats.org/officeDocument/2006/relationships/hyperlink" Target="http://www.who.int/mediacentre/factsheets/fs376/fr/" TargetMode="External"/><Relationship Id="rId19" Type="http://schemas.openxmlformats.org/officeDocument/2006/relationships/hyperlink" Target="http://www.who.int/mediacentre/factsheets/fs340/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anses.fr/fr/documents/MIC2010sa0232Fi.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482DD5B42E42E9BB1D15060B3F3B4F"/>
        <w:category>
          <w:name w:val="عام"/>
          <w:gallery w:val="placeholder"/>
        </w:category>
        <w:types>
          <w:type w:val="bbPlcHdr"/>
        </w:types>
        <w:behaviors>
          <w:behavior w:val="content"/>
        </w:behaviors>
        <w:guid w:val="{3A3E11DB-42E5-4336-91A9-7BAA299851BE}"/>
      </w:docPartPr>
      <w:docPartBody>
        <w:p w:rsidR="00000000" w:rsidRDefault="00980D89" w:rsidP="00980D89">
          <w:pPr>
            <w:pStyle w:val="EB482DD5B42E42E9BB1D15060B3F3B4F"/>
          </w:pPr>
          <w:r>
            <w:rPr>
              <w:smallCaps/>
              <w:color w:val="FFFFFF" w:themeColor="background1"/>
              <w:sz w:val="44"/>
              <w:szCs w:val="44"/>
              <w:rtl/>
              <w:lang w:val="ar-SA"/>
            </w:rPr>
            <w:t>[اكتب اسم الشركة]</w:t>
          </w:r>
        </w:p>
      </w:docPartBody>
    </w:docPart>
    <w:docPart>
      <w:docPartPr>
        <w:name w:val="2B6C9B78E8734F8EA5B19EC32207438E"/>
        <w:category>
          <w:name w:val="عام"/>
          <w:gallery w:val="placeholder"/>
        </w:category>
        <w:types>
          <w:type w:val="bbPlcHdr"/>
        </w:types>
        <w:behaviors>
          <w:behavior w:val="content"/>
        </w:behaviors>
        <w:guid w:val="{44943A6E-F5ED-4E50-B358-D0288F49BDF5}"/>
      </w:docPartPr>
      <w:docPartBody>
        <w:p w:rsidR="00000000" w:rsidRDefault="00980D89" w:rsidP="00980D89">
          <w:pPr>
            <w:pStyle w:val="2B6C9B78E8734F8EA5B19EC32207438E"/>
          </w:pPr>
          <w:r>
            <w:rPr>
              <w:rFonts w:asciiTheme="majorHAnsi" w:eastAsiaTheme="majorEastAsia" w:hAnsiTheme="majorHAnsi" w:cstheme="majorBidi"/>
              <w:color w:val="DBE5F1" w:themeColor="accent1" w:themeTint="33"/>
              <w:sz w:val="56"/>
              <w:szCs w:val="56"/>
              <w:rtl/>
              <w:lang w:val="ar-SA"/>
            </w:rPr>
            <w:t>[السنة]</w:t>
          </w:r>
        </w:p>
      </w:docPartBody>
    </w:docPart>
    <w:docPart>
      <w:docPartPr>
        <w:name w:val="5CDECD2EA7E54C449A6ABA29CC4EC6DC"/>
        <w:category>
          <w:name w:val="عام"/>
          <w:gallery w:val="placeholder"/>
        </w:category>
        <w:types>
          <w:type w:val="bbPlcHdr"/>
        </w:types>
        <w:behaviors>
          <w:behavior w:val="content"/>
        </w:behaviors>
        <w:guid w:val="{854593EA-F98D-4613-9804-421E70C97B18}"/>
      </w:docPartPr>
      <w:docPartBody>
        <w:p w:rsidR="00000000" w:rsidRDefault="00980D89" w:rsidP="00980D89">
          <w:pPr>
            <w:pStyle w:val="5CDECD2EA7E54C449A6ABA29CC4EC6DC"/>
          </w:pPr>
          <w:r>
            <w:rPr>
              <w:rFonts w:asciiTheme="majorHAnsi" w:eastAsiaTheme="majorEastAsia" w:hAnsiTheme="majorHAnsi" w:cstheme="majorBidi"/>
              <w:color w:val="622423" w:themeColor="accent2" w:themeShade="7F"/>
              <w:sz w:val="72"/>
              <w:szCs w:val="72"/>
              <w:rtl/>
              <w:lang w:val="ar-SA"/>
            </w:rPr>
            <w:t>[اكتب عنوان المستند]</w:t>
          </w:r>
        </w:p>
      </w:docPartBody>
    </w:docPart>
    <w:docPart>
      <w:docPartPr>
        <w:name w:val="E128D7CD10474AFB9FF329BBBFD7B0B8"/>
        <w:category>
          <w:name w:val="عام"/>
          <w:gallery w:val="placeholder"/>
        </w:category>
        <w:types>
          <w:type w:val="bbPlcHdr"/>
        </w:types>
        <w:behaviors>
          <w:behavior w:val="content"/>
        </w:behaviors>
        <w:guid w:val="{616C2CE0-0CDB-49E6-9560-69780C104517}"/>
      </w:docPartPr>
      <w:docPartBody>
        <w:p w:rsidR="00000000" w:rsidRDefault="00980D89" w:rsidP="00980D89">
          <w:pPr>
            <w:pStyle w:val="E128D7CD10474AFB9FF329BBBFD7B0B8"/>
          </w:pPr>
          <w:r>
            <w:rPr>
              <w:color w:val="FFFFFF" w:themeColor="background1"/>
              <w:sz w:val="40"/>
              <w:szCs w:val="40"/>
              <w:rtl/>
              <w:lang w:val="ar-SA"/>
            </w:rPr>
            <w:t>[اكتب العنوان الفرعي للمستند]</w:t>
          </w:r>
        </w:p>
      </w:docPartBody>
    </w:docPart>
    <w:docPart>
      <w:docPartPr>
        <w:name w:val="295D198AEB074864BC22ED30F7D142A6"/>
        <w:category>
          <w:name w:val="عام"/>
          <w:gallery w:val="placeholder"/>
        </w:category>
        <w:types>
          <w:type w:val="bbPlcHdr"/>
        </w:types>
        <w:behaviors>
          <w:behavior w:val="content"/>
        </w:behaviors>
        <w:guid w:val="{01F1F156-CED7-4F3B-B830-12DDC3BE6DC3}"/>
      </w:docPartPr>
      <w:docPartBody>
        <w:p w:rsidR="00000000" w:rsidRDefault="00980D89" w:rsidP="00980D89">
          <w:pPr>
            <w:pStyle w:val="295D198AEB074864BC22ED30F7D142A6"/>
          </w:pPr>
          <w:r>
            <w:rPr>
              <w:smallCaps/>
              <w:color w:val="FFFFFF" w:themeColor="background1"/>
              <w:spacing w:val="60"/>
              <w:sz w:val="28"/>
              <w:szCs w:val="28"/>
              <w:rtl/>
              <w:lang w:val="ar-SA"/>
            </w:rPr>
            <w:t>[اكتب عنوان الشركة]</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0D89"/>
    <w:rsid w:val="00980D89"/>
    <w:rsid w:val="00EB3C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24D6E1CD604836BFEED0A615DD0BCA">
    <w:name w:val="D924D6E1CD604836BFEED0A615DD0BCA"/>
    <w:rsid w:val="00980D89"/>
  </w:style>
  <w:style w:type="paragraph" w:customStyle="1" w:styleId="4AB4EF43906344F98ACB3479C8B6CEEA">
    <w:name w:val="4AB4EF43906344F98ACB3479C8B6CEEA"/>
    <w:rsid w:val="00980D89"/>
  </w:style>
  <w:style w:type="paragraph" w:customStyle="1" w:styleId="EA3681AEF2FE406A80F9FED33D3A59C1">
    <w:name w:val="EA3681AEF2FE406A80F9FED33D3A59C1"/>
    <w:rsid w:val="00980D89"/>
  </w:style>
  <w:style w:type="paragraph" w:customStyle="1" w:styleId="81C59C74A6024C3DB73A9A6C29E37C23">
    <w:name w:val="81C59C74A6024C3DB73A9A6C29E37C23"/>
    <w:rsid w:val="00980D89"/>
  </w:style>
  <w:style w:type="paragraph" w:customStyle="1" w:styleId="CD21EB25C66D47A8A260ABCD1CE3069C">
    <w:name w:val="CD21EB25C66D47A8A260ABCD1CE3069C"/>
    <w:rsid w:val="00980D89"/>
  </w:style>
  <w:style w:type="paragraph" w:customStyle="1" w:styleId="FC0D09F098F04FF28ED863432C69EE87">
    <w:name w:val="FC0D09F098F04FF28ED863432C69EE87"/>
    <w:rsid w:val="00980D89"/>
  </w:style>
  <w:style w:type="paragraph" w:customStyle="1" w:styleId="4C682B53ACFA44499DFABAE39DDC6EB4">
    <w:name w:val="4C682B53ACFA44499DFABAE39DDC6EB4"/>
    <w:rsid w:val="00980D89"/>
  </w:style>
  <w:style w:type="paragraph" w:customStyle="1" w:styleId="EA0D3FB9FCE341D5B323406360A94DE5">
    <w:name w:val="EA0D3FB9FCE341D5B323406360A94DE5"/>
    <w:rsid w:val="00980D89"/>
  </w:style>
  <w:style w:type="paragraph" w:customStyle="1" w:styleId="EB482DD5B42E42E9BB1D15060B3F3B4F">
    <w:name w:val="EB482DD5B42E42E9BB1D15060B3F3B4F"/>
    <w:rsid w:val="00980D89"/>
  </w:style>
  <w:style w:type="paragraph" w:customStyle="1" w:styleId="2B6C9B78E8734F8EA5B19EC32207438E">
    <w:name w:val="2B6C9B78E8734F8EA5B19EC32207438E"/>
    <w:rsid w:val="00980D89"/>
  </w:style>
  <w:style w:type="paragraph" w:customStyle="1" w:styleId="5CDECD2EA7E54C449A6ABA29CC4EC6DC">
    <w:name w:val="5CDECD2EA7E54C449A6ABA29CC4EC6DC"/>
    <w:rsid w:val="00980D89"/>
  </w:style>
  <w:style w:type="paragraph" w:customStyle="1" w:styleId="E128D7CD10474AFB9FF329BBBFD7B0B8">
    <w:name w:val="E128D7CD10474AFB9FF329BBBFD7B0B8"/>
    <w:rsid w:val="00980D89"/>
  </w:style>
  <w:style w:type="paragraph" w:customStyle="1" w:styleId="F272750204DC4DCB809B65452E3B9E74">
    <w:name w:val="F272750204DC4DCB809B65452E3B9E74"/>
    <w:rsid w:val="00980D89"/>
  </w:style>
  <w:style w:type="paragraph" w:customStyle="1" w:styleId="295D198AEB074864BC22ED30F7D142A6">
    <w:name w:val="295D198AEB074864BC22ED30F7D142A6"/>
    <w:rsid w:val="00980D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Département de Microbiologie et Biochimie.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3797</Words>
  <Characters>20887</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Dr.ARIECH MOUNIRA</Company>
  <LinksUpToDate>false</LinksUpToDate>
  <CharactersWithSpaces>24635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MICROBIOLOGIE ALIMENTAIRE</dc:title>
  <dc:subject>Le cours est destiné aux étudiants de la troisième année, spécialité : Alimentation, nutrition et pathologies (Semestre 6)</dc:subject>
  <dc:creator/>
  <cp:lastModifiedBy>rida</cp:lastModifiedBy>
  <cp:revision>5</cp:revision>
  <dcterms:created xsi:type="dcterms:W3CDTF">2020-03-29T18:28:00Z</dcterms:created>
  <dcterms:modified xsi:type="dcterms:W3CDTF">2020-03-30T01:38:00Z</dcterms:modified>
</cp:coreProperties>
</file>