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35" w:rsidRDefault="004C0735" w:rsidP="00472783">
      <w:pPr>
        <w:jc w:val="right"/>
        <w:rPr>
          <w:i/>
          <w:sz w:val="32"/>
          <w:szCs w:val="32"/>
          <w:rtl/>
        </w:rPr>
      </w:pPr>
    </w:p>
    <w:p w:rsidR="00472783" w:rsidRDefault="00FB3E1E" w:rsidP="004C0735">
      <w:pPr>
        <w:bidi/>
        <w:jc w:val="both"/>
      </w:pPr>
      <w:r>
        <w:rPr>
          <w:i/>
          <w:sz w:val="32"/>
          <w:szCs w:val="32"/>
        </w:rPr>
        <w:t>*</w:t>
      </w:r>
      <w:r>
        <w:rPr>
          <w:rFonts w:cs="Times New Roman"/>
          <w:sz w:val="28"/>
          <w:szCs w:val="28"/>
          <w:rtl/>
        </w:rPr>
        <w:t>قائمة المراجع</w:t>
      </w:r>
    </w:p>
    <w:p w:rsidR="00132AFD" w:rsidRPr="00132AFD" w:rsidRDefault="00132AFD" w:rsidP="00132AFD">
      <w:pPr>
        <w:bidi/>
        <w:spacing w:after="0" w:line="240" w:lineRule="auto"/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1-</w:t>
      </w:r>
      <w:r w:rsidRPr="00132AFD"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  <w:t>خياط</w:t>
      </w:r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،</w:t>
      </w:r>
      <w:r w:rsidRPr="00132AFD"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  <w:t xml:space="preserve"> </w:t>
      </w:r>
      <w:r w:rsidRPr="00132AFD"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  <w:t xml:space="preserve">يوسف: معجم المصطلحات العلمية والفنية (عربي فرنسي انجليزي ولاتيني)، دار لسان العرب، بيروت-لبنان، ط/1، </w:t>
      </w:r>
      <w:r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  <w:t>1971م</w:t>
      </w:r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.</w:t>
      </w:r>
    </w:p>
    <w:p w:rsidR="00132AFD" w:rsidRDefault="00132AFD" w:rsidP="00132AFD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2-</w:t>
      </w:r>
      <w:r w:rsidRPr="00132AFD"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  <w:t>ظاظا</w:t>
      </w:r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،</w:t>
      </w:r>
      <w:r w:rsidRPr="00132AFD"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  <w:t xml:space="preserve"> </w:t>
      </w:r>
      <w:r w:rsidRPr="00132AFD"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  <w:t>حسن: كلام العرب من قضايا اللغة العربية، دار النهضة، بيروت-لبنان، 1976م</w:t>
      </w:r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.</w:t>
      </w:r>
    </w:p>
    <w:p w:rsidR="00132AFD" w:rsidRPr="00132AFD" w:rsidRDefault="00132AFD" w:rsidP="00132AFD">
      <w:pPr>
        <w:pStyle w:val="Notedebasdepage"/>
        <w:bidi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3-</w:t>
      </w:r>
      <w:r w:rsidRPr="00132AFD">
        <w:rPr>
          <w:rFonts w:ascii="Traditional Arabic" w:hAnsi="Traditional Arabic" w:cs="Traditional Arabic"/>
          <w:sz w:val="24"/>
          <w:szCs w:val="24"/>
          <w:rtl/>
          <w:lang w:bidi="ar-DZ"/>
        </w:rPr>
        <w:t>ابن منظور: لسان العرب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.</w:t>
      </w:r>
    </w:p>
    <w:p w:rsidR="00132AFD" w:rsidRPr="00132AFD" w:rsidRDefault="00132AFD" w:rsidP="00132AFD">
      <w:pPr>
        <w:bidi/>
        <w:spacing w:after="0" w:line="240" w:lineRule="auto"/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</w:pPr>
      <w:bookmarkStart w:id="0" w:name="_GoBack"/>
      <w:bookmarkEnd w:id="0"/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4-</w:t>
      </w:r>
      <w:r w:rsidRPr="00132AFD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>نصار</w:t>
      </w:r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،</w:t>
      </w:r>
      <w:r w:rsidRPr="00132AFD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 xml:space="preserve"> </w:t>
      </w:r>
      <w:r w:rsidRPr="00132AFD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>حسين ، المعجم العربي، نشأته وتطوره، ج/1، دار مصر للطباعة، القاهرة-مصر، 1988</w:t>
      </w:r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.</w:t>
      </w:r>
    </w:p>
    <w:p w:rsidR="00132AFD" w:rsidRPr="00132AFD" w:rsidRDefault="00132AFD" w:rsidP="00132AFD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5-</w:t>
      </w:r>
      <w:r w:rsidRPr="00132AFD"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  <w:t>نهر</w:t>
      </w:r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،</w:t>
      </w:r>
      <w:r w:rsidRPr="00132AFD"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  <w:t xml:space="preserve"> هادي: علم الأصوات النطقي دراسات وصفية تطبيقية، عالم الكتب الحديث، إربد-الأردن، ط/1، 2011م</w:t>
      </w:r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.</w:t>
      </w:r>
    </w:p>
    <w:p w:rsidR="00472783" w:rsidRPr="00472783" w:rsidRDefault="00472783" w:rsidP="00472783">
      <w:pPr>
        <w:bidi/>
        <w:spacing w:after="0" w:line="240" w:lineRule="auto"/>
        <w:rPr>
          <w:rFonts w:ascii="Traditional Arabic" w:eastAsia="Calibri" w:hAnsi="Traditional Arabic" w:cs="Traditional Arabic"/>
          <w:color w:val="FF0000"/>
          <w:sz w:val="24"/>
          <w:szCs w:val="24"/>
          <w:rtl/>
          <w:lang w:eastAsia="en-US" w:bidi="ar-DZ"/>
        </w:rPr>
      </w:pPr>
      <w:r w:rsidRPr="00472783">
        <w:rPr>
          <w:rFonts w:ascii="Traditional Arabic" w:eastAsia="Calibri" w:hAnsi="Traditional Arabic" w:cs="Traditional Arabic"/>
          <w:color w:val="FF0000"/>
          <w:sz w:val="24"/>
          <w:szCs w:val="24"/>
          <w:rtl/>
        </w:rPr>
        <w:t>        </w:t>
      </w:r>
    </w:p>
    <w:p w:rsidR="001E4B58" w:rsidRPr="00472783" w:rsidRDefault="001E4B58" w:rsidP="00472783">
      <w:pPr>
        <w:jc w:val="right"/>
        <w:rPr>
          <w:lang w:bidi="ar-DZ"/>
        </w:rPr>
      </w:pPr>
    </w:p>
    <w:sectPr w:rsidR="001E4B58" w:rsidRPr="0047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3E1E"/>
    <w:rsid w:val="00132AFD"/>
    <w:rsid w:val="001E4B58"/>
    <w:rsid w:val="00472783"/>
    <w:rsid w:val="004C0735"/>
    <w:rsid w:val="008026CE"/>
    <w:rsid w:val="00C00433"/>
    <w:rsid w:val="00F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4A00A-DD70-4662-AA2A-C84ACBEF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043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0433"/>
    <w:rPr>
      <w:rFonts w:eastAsia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MAISON XP</cp:lastModifiedBy>
  <cp:revision>7</cp:revision>
  <dcterms:created xsi:type="dcterms:W3CDTF">2022-05-26T08:38:00Z</dcterms:created>
  <dcterms:modified xsi:type="dcterms:W3CDTF">2022-06-01T08:00:00Z</dcterms:modified>
</cp:coreProperties>
</file>