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b/>
          <w:bCs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b/>
          <w:bCs/>
          <w:sz w:val="32"/>
          <w:szCs w:val="32"/>
          <w:rtl/>
        </w:rPr>
        <w:t xml:space="preserve">المراجع البيوغرافية: 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b/>
          <w:bCs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b/>
          <w:bCs/>
          <w:sz w:val="32"/>
          <w:szCs w:val="32"/>
          <w:rtl/>
        </w:rPr>
        <w:t>اولا: القوانين: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sz w:val="32"/>
          <w:szCs w:val="32"/>
          <w:rtl/>
        </w:rPr>
        <w:t>-</w:t>
      </w:r>
      <w:r w:rsidRPr="00F16790">
        <w:rPr>
          <w:rFonts w:ascii="Calibri" w:eastAsia="Calibri" w:hAnsi="Calibri" w:cs="Akhbar MT"/>
          <w:sz w:val="32"/>
          <w:szCs w:val="32"/>
          <w:rtl/>
        </w:rPr>
        <w:t xml:space="preserve"> الأمر 01-03</w:t>
      </w:r>
      <w:r w:rsidRPr="00F16790">
        <w:rPr>
          <w:rFonts w:ascii="Calibri" w:eastAsia="Calibri" w:hAnsi="Calibri" w:cs="Akhbar MT" w:hint="cs"/>
          <w:sz w:val="32"/>
          <w:szCs w:val="32"/>
          <w:rtl/>
        </w:rPr>
        <w:t xml:space="preserve"> المتعلق بتطوير الاستثمار.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sz w:val="32"/>
          <w:szCs w:val="32"/>
          <w:rtl/>
        </w:rPr>
        <w:t>-</w:t>
      </w:r>
      <w:r w:rsidRPr="00F16790">
        <w:rPr>
          <w:rFonts w:ascii="Calibri" w:eastAsia="Calibri" w:hAnsi="Calibri" w:cs="Akhbar MT"/>
          <w:sz w:val="32"/>
          <w:szCs w:val="32"/>
          <w:rtl/>
        </w:rPr>
        <w:t>16-09 المتعلق بترقية الاستثمار</w:t>
      </w:r>
      <w:r w:rsidRPr="00F16790">
        <w:rPr>
          <w:rFonts w:ascii="Calibri" w:eastAsia="Calibri" w:hAnsi="Calibri" w:cs="Akhbar MT" w:hint="cs"/>
          <w:sz w:val="32"/>
          <w:szCs w:val="32"/>
          <w:rtl/>
        </w:rPr>
        <w:t>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sz w:val="32"/>
          <w:szCs w:val="32"/>
          <w:rtl/>
        </w:rPr>
        <w:t>-</w:t>
      </w:r>
      <w:r w:rsidRPr="00F16790">
        <w:rPr>
          <w:rFonts w:ascii="Calibri" w:eastAsia="Calibri" w:hAnsi="Calibri" w:cs="Akhbar MT"/>
          <w:sz w:val="32"/>
          <w:szCs w:val="32"/>
          <w:rtl/>
        </w:rPr>
        <w:t xml:space="preserve"> المرسوم التنفيذي رقم 17-101 الذي يحدد القوائم السلبية والمبالغ الدنيا للاستفادة من المزايا وكيفيات تطبيق المزايا على مختلف أنواع الاستثمارات</w:t>
      </w:r>
      <w:r w:rsidRPr="00F16790">
        <w:rPr>
          <w:rFonts w:ascii="Calibri" w:eastAsia="Calibri" w:hAnsi="Calibri" w:cs="Akhbar MT" w:hint="cs"/>
          <w:sz w:val="32"/>
          <w:szCs w:val="32"/>
          <w:rtl/>
        </w:rPr>
        <w:t>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sz w:val="32"/>
          <w:szCs w:val="32"/>
          <w:rtl/>
        </w:rPr>
        <w:t>-</w:t>
      </w:r>
      <w:r w:rsidRPr="00F16790">
        <w:rPr>
          <w:rFonts w:ascii="Calibri" w:eastAsia="Calibri" w:hAnsi="Calibri" w:cs="Akhbar MT"/>
          <w:sz w:val="32"/>
          <w:szCs w:val="32"/>
          <w:rtl/>
        </w:rPr>
        <w:t xml:space="preserve"> القانون رقم 91-11 </w:t>
      </w:r>
      <w:proofErr w:type="gramStart"/>
      <w:r w:rsidRPr="00F16790">
        <w:rPr>
          <w:rFonts w:ascii="Calibri" w:eastAsia="Calibri" w:hAnsi="Calibri" w:cs="Akhbar MT"/>
          <w:sz w:val="32"/>
          <w:szCs w:val="32"/>
          <w:rtl/>
        </w:rPr>
        <w:t>المتعلق</w:t>
      </w:r>
      <w:proofErr w:type="gramEnd"/>
      <w:r w:rsidRPr="00F16790">
        <w:rPr>
          <w:rFonts w:ascii="Calibri" w:eastAsia="Calibri" w:hAnsi="Calibri" w:cs="Akhbar MT"/>
          <w:sz w:val="32"/>
          <w:szCs w:val="32"/>
          <w:rtl/>
        </w:rPr>
        <w:t xml:space="preserve"> بنزع الملكية من أجل المنفعة العمومية</w:t>
      </w:r>
      <w:r w:rsidRPr="00F16790">
        <w:rPr>
          <w:rFonts w:ascii="Calibri" w:eastAsia="Calibri" w:hAnsi="Calibri" w:cs="Akhbar MT" w:hint="cs"/>
          <w:sz w:val="32"/>
          <w:szCs w:val="32"/>
          <w:rtl/>
        </w:rPr>
        <w:t>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sz w:val="32"/>
          <w:szCs w:val="32"/>
          <w:rtl/>
        </w:rPr>
        <w:t>-</w:t>
      </w:r>
      <w:r w:rsidRPr="00F16790">
        <w:rPr>
          <w:rFonts w:ascii="Calibri" w:eastAsia="Calibri" w:hAnsi="Calibri" w:cs="Akhbar MT"/>
          <w:sz w:val="32"/>
          <w:szCs w:val="32"/>
          <w:rtl/>
        </w:rPr>
        <w:t xml:space="preserve"> والمرسوم التنفيذي رقم 17-102 المحدد لكيفيات تسجيل الاستثمارات وكذا شكل ونتائج الشهادة المتعلقة به</w:t>
      </w:r>
      <w:r w:rsidRPr="00F16790">
        <w:rPr>
          <w:rFonts w:ascii="Calibri" w:eastAsia="Calibri" w:hAnsi="Calibri" w:cs="Akhbar MT" w:hint="cs"/>
          <w:sz w:val="32"/>
          <w:szCs w:val="32"/>
          <w:rtl/>
        </w:rPr>
        <w:t>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sz w:val="32"/>
          <w:szCs w:val="32"/>
          <w:rtl/>
        </w:rPr>
        <w:t>-</w:t>
      </w:r>
      <w:r w:rsidRPr="00F16790">
        <w:rPr>
          <w:rFonts w:ascii="Calibri" w:eastAsia="Calibri" w:hAnsi="Calibri" w:cs="Akhbar MT"/>
          <w:sz w:val="32"/>
          <w:szCs w:val="32"/>
          <w:rtl/>
        </w:rPr>
        <w:t xml:space="preserve"> أحكام الأمر 08-04 الذي يحدد شروط وكيفيات منح الامتياز على الأراضي التابعة للأملاك الخاصة للدولة الموجهة لإنجاز مشاريع استثمارية</w:t>
      </w:r>
      <w:r w:rsidRPr="00F16790">
        <w:rPr>
          <w:rFonts w:ascii="Calibri" w:eastAsia="Calibri" w:hAnsi="Calibri" w:cs="Akhbar MT" w:hint="cs"/>
          <w:sz w:val="32"/>
          <w:szCs w:val="32"/>
          <w:rtl/>
        </w:rPr>
        <w:t>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sz w:val="32"/>
          <w:szCs w:val="32"/>
          <w:rtl/>
        </w:rPr>
        <w:t>-</w:t>
      </w:r>
      <w:r w:rsidRPr="00F16790">
        <w:rPr>
          <w:rFonts w:ascii="Calibri" w:eastAsia="Calibri" w:hAnsi="Calibri" w:cs="Akhbar MT"/>
          <w:sz w:val="32"/>
          <w:szCs w:val="32"/>
          <w:rtl/>
        </w:rPr>
        <w:t xml:space="preserve"> المرسوم التنفيذي رقم 97-320 الذي يحدد الكيفيات التطبيقية للمادة 43 من المرسوم التشريعي رقم 93-12 المتعلق بترقية الاستثمار</w:t>
      </w:r>
      <w:r w:rsidRPr="00F16790">
        <w:rPr>
          <w:rFonts w:ascii="Calibri" w:eastAsia="Calibri" w:hAnsi="Calibri" w:cs="Akhbar MT" w:hint="cs"/>
          <w:sz w:val="32"/>
          <w:szCs w:val="32"/>
          <w:rtl/>
        </w:rPr>
        <w:t>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b/>
          <w:bCs/>
          <w:sz w:val="32"/>
          <w:szCs w:val="32"/>
          <w:rtl/>
        </w:rPr>
      </w:pPr>
      <w:r w:rsidRPr="00F16790">
        <w:rPr>
          <w:rFonts w:ascii="Calibri" w:eastAsia="Calibri" w:hAnsi="Calibri" w:cs="Akhbar MT" w:hint="cs"/>
          <w:b/>
          <w:bCs/>
          <w:sz w:val="32"/>
          <w:szCs w:val="32"/>
          <w:rtl/>
        </w:rPr>
        <w:t xml:space="preserve">ثانيا: </w:t>
      </w:r>
      <w:proofErr w:type="gramStart"/>
      <w:r w:rsidRPr="00F16790">
        <w:rPr>
          <w:rFonts w:ascii="Calibri" w:eastAsia="Calibri" w:hAnsi="Calibri" w:cs="Akhbar MT" w:hint="cs"/>
          <w:b/>
          <w:bCs/>
          <w:sz w:val="32"/>
          <w:szCs w:val="32"/>
          <w:rtl/>
        </w:rPr>
        <w:t>الكتب</w:t>
      </w:r>
      <w:proofErr w:type="gramEnd"/>
      <w:r w:rsidRPr="00F16790">
        <w:rPr>
          <w:rFonts w:ascii="Calibri" w:eastAsia="Calibri" w:hAnsi="Calibri" w:cs="Akhbar MT" w:hint="cs"/>
          <w:b/>
          <w:bCs/>
          <w:sz w:val="32"/>
          <w:szCs w:val="32"/>
          <w:rtl/>
        </w:rPr>
        <w:t>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  <w:lang w:val="en-US" w:bidi="ar-DZ"/>
        </w:rPr>
      </w:pPr>
      <w:r w:rsidRPr="00F16790">
        <w:rPr>
          <w:rFonts w:ascii="Calibri" w:eastAsia="Calibri" w:hAnsi="Calibri" w:cs="Akhbar MT" w:hint="cs"/>
          <w:sz w:val="32"/>
          <w:szCs w:val="32"/>
          <w:rtl/>
        </w:rPr>
        <w:t>-</w:t>
      </w:r>
      <w:r w:rsidRPr="00F16790">
        <w:rPr>
          <w:rFonts w:ascii="Calibri" w:eastAsia="Calibri" w:hAnsi="Calibri" w:cs="Akhbar MT" w:hint="cs"/>
          <w:sz w:val="32"/>
          <w:szCs w:val="32"/>
          <w:rtl/>
          <w:lang w:val="en-US" w:bidi="ar-DZ"/>
        </w:rPr>
        <w:t xml:space="preserve"> </w:t>
      </w:r>
      <w:r w:rsidRPr="00F16790">
        <w:rPr>
          <w:rFonts w:ascii="Calibri" w:eastAsia="Calibri" w:hAnsi="Calibri" w:cs="Akhbar MT"/>
          <w:sz w:val="32"/>
          <w:szCs w:val="32"/>
          <w:rtl/>
          <w:lang w:val="en-US" w:bidi="ar-DZ"/>
        </w:rPr>
        <w:t xml:space="preserve">عبد العزيز فهمي </w:t>
      </w:r>
      <w:proofErr w:type="gramStart"/>
      <w:r w:rsidRPr="00F16790">
        <w:rPr>
          <w:rFonts w:ascii="Calibri" w:eastAsia="Calibri" w:hAnsi="Calibri" w:cs="Akhbar MT"/>
          <w:sz w:val="32"/>
          <w:szCs w:val="32"/>
          <w:rtl/>
          <w:lang w:val="en-US" w:bidi="ar-DZ"/>
        </w:rPr>
        <w:t>هيكل</w:t>
      </w:r>
      <w:proofErr w:type="gramEnd"/>
      <w:r w:rsidRPr="00F16790">
        <w:rPr>
          <w:rFonts w:ascii="Calibri" w:eastAsia="Calibri" w:hAnsi="Calibri" w:cs="Akhbar MT"/>
          <w:sz w:val="32"/>
          <w:szCs w:val="32"/>
          <w:rtl/>
          <w:lang w:val="en-US" w:bidi="ar-DZ"/>
        </w:rPr>
        <w:t>، أساليب تقييم الاستثمارات، دار الجامعة، بيروت، 1985.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  <w:lang w:val="en-US" w:bidi="ar-DZ"/>
        </w:rPr>
      </w:pPr>
      <w:r w:rsidRPr="00F16790">
        <w:rPr>
          <w:rFonts w:ascii="Calibri" w:eastAsia="Calibri" w:hAnsi="Calibri" w:cs="Akhbar MT"/>
          <w:sz w:val="32"/>
          <w:szCs w:val="32"/>
          <w:rtl/>
          <w:lang w:val="en-US" w:bidi="ar-DZ"/>
        </w:rPr>
        <w:t>-منى محمود مصطفى، الحماية الدولية للاستثمار الاجنبي المباشر ودور التحكيم في تسوية منازعات الاستثمار الاجنبي، دار النهضة العربية، مصر،1990.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  <w:lang w:val="en-US" w:bidi="ar-DZ"/>
        </w:rPr>
      </w:pPr>
      <w:r w:rsidRPr="00F16790">
        <w:rPr>
          <w:rFonts w:ascii="Calibri" w:eastAsia="Calibri" w:hAnsi="Calibri" w:cs="Akhbar MT"/>
          <w:sz w:val="32"/>
          <w:szCs w:val="32"/>
          <w:rtl/>
          <w:lang w:val="en-US" w:bidi="ar-DZ"/>
        </w:rPr>
        <w:t>-</w:t>
      </w:r>
      <w:proofErr w:type="spellStart"/>
      <w:r w:rsidRPr="00F16790">
        <w:rPr>
          <w:rFonts w:ascii="Calibri" w:eastAsia="Calibri" w:hAnsi="Calibri" w:cs="Akhbar MT"/>
          <w:sz w:val="32"/>
          <w:szCs w:val="32"/>
          <w:rtl/>
          <w:lang w:val="en-US" w:bidi="ar-DZ"/>
        </w:rPr>
        <w:t>عيبوط</w:t>
      </w:r>
      <w:proofErr w:type="spellEnd"/>
      <w:r w:rsidRPr="00F16790">
        <w:rPr>
          <w:rFonts w:ascii="Calibri" w:eastAsia="Calibri" w:hAnsi="Calibri" w:cs="Akhbar MT"/>
          <w:sz w:val="32"/>
          <w:szCs w:val="32"/>
          <w:rtl/>
          <w:lang w:val="en-US" w:bidi="ar-DZ"/>
        </w:rPr>
        <w:t xml:space="preserve"> محن داو علي، الاستثمارات الاجنبية في القانون الجزائري، دار هومة ، الجزائر 2012.</w:t>
      </w:r>
    </w:p>
    <w:p w:rsidR="00F16790" w:rsidRPr="00F16790" w:rsidRDefault="00F16790" w:rsidP="00F16790">
      <w:pPr>
        <w:bidi/>
        <w:jc w:val="both"/>
        <w:rPr>
          <w:rFonts w:ascii="Calibri" w:eastAsia="Calibri" w:hAnsi="Calibri" w:cs="Akhbar MT"/>
          <w:sz w:val="32"/>
          <w:szCs w:val="32"/>
          <w:rtl/>
          <w:lang w:val="en-US" w:bidi="ar-DZ"/>
        </w:rPr>
      </w:pPr>
      <w:r w:rsidRPr="00F16790">
        <w:rPr>
          <w:rFonts w:ascii="Calibri" w:eastAsia="Calibri" w:hAnsi="Calibri" w:cs="Akhbar MT"/>
          <w:sz w:val="32"/>
          <w:szCs w:val="32"/>
          <w:rtl/>
          <w:lang w:val="en-US" w:bidi="ar-DZ"/>
        </w:rPr>
        <w:t xml:space="preserve">- </w:t>
      </w:r>
    </w:p>
    <w:p w:rsidR="00564C4F" w:rsidRDefault="00564C4F" w:rsidP="00F16790">
      <w:pPr>
        <w:bidi/>
      </w:pPr>
      <w:bookmarkStart w:id="0" w:name="_GoBack"/>
      <w:bookmarkEnd w:id="0"/>
    </w:p>
    <w:sectPr w:rsidR="00564C4F" w:rsidSect="00FE326C">
      <w:footerReference w:type="default" r:id="rId5"/>
      <w:pgSz w:w="11906" w:h="16838"/>
      <w:pgMar w:top="1134" w:right="1701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672670"/>
      <w:docPartObj>
        <w:docPartGallery w:val="Page Numbers (Bottom of Page)"/>
        <w:docPartUnique/>
      </w:docPartObj>
    </w:sdtPr>
    <w:sdtEndPr/>
    <w:sdtContent>
      <w:p w:rsidR="00AC67F5" w:rsidRDefault="00F16790">
        <w:pPr>
          <w:pStyle w:val="Pieddepage"/>
          <w:jc w:val="center"/>
        </w:pPr>
        <w:r w:rsidRPr="00576488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576488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576488">
          <w:rPr>
            <w:rFonts w:asciiTheme="majorBidi" w:hAnsiTheme="majorBidi" w:cstheme="majorBidi"/>
            <w:sz w:val="28"/>
            <w:szCs w:val="28"/>
          </w:rPr>
          <w:fldChar w:fldCharType="separate"/>
        </w:r>
        <w:r>
          <w:rPr>
            <w:rFonts w:asciiTheme="majorBidi" w:hAnsiTheme="majorBidi" w:cstheme="majorBidi"/>
            <w:noProof/>
            <w:sz w:val="28"/>
            <w:szCs w:val="28"/>
          </w:rPr>
          <w:t>1</w:t>
        </w:r>
        <w:r w:rsidRPr="00576488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:rsidR="00AC67F5" w:rsidRDefault="00F16790">
    <w:pPr>
      <w:pStyle w:val="Pieddepag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FD"/>
    <w:rsid w:val="00564C4F"/>
    <w:rsid w:val="00F16790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1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6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unhideWhenUsed/>
    <w:rsid w:val="00F16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6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microstar</dc:creator>
  <cp:keywords/>
  <dc:description/>
  <cp:lastModifiedBy>microstar</cp:lastModifiedBy>
  <cp:revision>2</cp:revision>
  <dcterms:created xsi:type="dcterms:W3CDTF">2022-08-20T16:43:00Z</dcterms:created>
  <dcterms:modified xsi:type="dcterms:W3CDTF">2022-08-20T16:43:00Z</dcterms:modified>
</cp:coreProperties>
</file>