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A87" w:rsidRPr="00F57A87" w:rsidRDefault="00F57A87" w:rsidP="00F57A87">
      <w:pPr>
        <w:pStyle w:val="Titre1"/>
        <w:spacing w:before="0"/>
        <w:rPr>
          <w:rFonts w:asciiTheme="majorBidi" w:hAnsiTheme="majorBidi"/>
          <w:color w:val="auto"/>
        </w:rPr>
      </w:pPr>
      <w:r w:rsidRPr="00F57A87">
        <w:rPr>
          <w:rFonts w:asciiTheme="majorBidi" w:hAnsiTheme="majorBidi"/>
          <w:color w:val="auto"/>
        </w:rPr>
        <w:t>Photovoltaïque : les filières couches minces</w:t>
      </w:r>
    </w:p>
    <w:p w:rsidR="00F57A87" w:rsidRPr="00F57A87" w:rsidRDefault="00F57A87" w:rsidP="00F57A87">
      <w:pPr>
        <w:spacing w:before="100" w:beforeAutospacing="1" w:after="0" w:line="360" w:lineRule="auto"/>
        <w:jc w:val="both"/>
        <w:rPr>
          <w:rFonts w:ascii="Times New Roman" w:eastAsia="Times New Roman" w:hAnsi="Times New Roman" w:cs="Times New Roman"/>
          <w:sz w:val="24"/>
          <w:szCs w:val="24"/>
          <w:lang w:eastAsia="fr-FR"/>
        </w:rPr>
      </w:pPr>
      <w:r w:rsidRPr="00F57A87">
        <w:rPr>
          <w:rFonts w:ascii="Times New Roman" w:eastAsia="Times New Roman" w:hAnsi="Times New Roman" w:cs="Times New Roman"/>
          <w:sz w:val="24"/>
          <w:szCs w:val="24"/>
          <w:lang w:eastAsia="fr-FR"/>
        </w:rPr>
        <w:t xml:space="preserve">Les cellules solaires en couches minces, souvent désignées comme cellules de deuxième génération, regroupent la filière du silicium amorphe, celle du </w:t>
      </w:r>
      <w:proofErr w:type="spellStart"/>
      <w:r w:rsidRPr="00F57A87">
        <w:rPr>
          <w:rFonts w:ascii="Times New Roman" w:eastAsia="Times New Roman" w:hAnsi="Times New Roman" w:cs="Times New Roman"/>
          <w:sz w:val="24"/>
          <w:szCs w:val="24"/>
          <w:lang w:eastAsia="fr-FR"/>
        </w:rPr>
        <w:t>CdTe</w:t>
      </w:r>
      <w:proofErr w:type="spellEnd"/>
      <w:r w:rsidRPr="00F57A87">
        <w:rPr>
          <w:rFonts w:ascii="Times New Roman" w:eastAsia="Times New Roman" w:hAnsi="Times New Roman" w:cs="Times New Roman"/>
          <w:sz w:val="24"/>
          <w:szCs w:val="24"/>
          <w:lang w:eastAsia="fr-FR"/>
        </w:rPr>
        <w:t xml:space="preserve"> (tellurure de cadmium) et celle, notée </w:t>
      </w:r>
      <w:proofErr w:type="spellStart"/>
      <w:r w:rsidRPr="00F57A87">
        <w:rPr>
          <w:rFonts w:ascii="Times New Roman" w:eastAsia="Times New Roman" w:hAnsi="Times New Roman" w:cs="Times New Roman"/>
          <w:sz w:val="24"/>
          <w:szCs w:val="24"/>
          <w:lang w:eastAsia="fr-FR"/>
        </w:rPr>
        <w:t>CIGSe</w:t>
      </w:r>
      <w:proofErr w:type="spellEnd"/>
      <w:r w:rsidRPr="00F57A87">
        <w:rPr>
          <w:rFonts w:ascii="Times New Roman" w:eastAsia="Times New Roman" w:hAnsi="Times New Roman" w:cs="Times New Roman"/>
          <w:sz w:val="24"/>
          <w:szCs w:val="24"/>
          <w:lang w:eastAsia="fr-FR"/>
        </w:rPr>
        <w:t>, à base d’alliages Cu (In, Ga</w:t>
      </w:r>
      <w:proofErr w:type="gramStart"/>
      <w:r w:rsidRPr="00F57A87">
        <w:rPr>
          <w:rFonts w:ascii="Times New Roman" w:eastAsia="Times New Roman" w:hAnsi="Times New Roman" w:cs="Times New Roman"/>
          <w:sz w:val="24"/>
          <w:szCs w:val="24"/>
          <w:lang w:eastAsia="fr-FR"/>
        </w:rPr>
        <w:t>)Se</w:t>
      </w:r>
      <w:r w:rsidRPr="00F57A87">
        <w:rPr>
          <w:rFonts w:ascii="Times New Roman" w:eastAsia="Times New Roman" w:hAnsi="Times New Roman" w:cs="Times New Roman"/>
          <w:sz w:val="24"/>
          <w:szCs w:val="24"/>
          <w:vertAlign w:val="subscript"/>
          <w:lang w:eastAsia="fr-FR"/>
        </w:rPr>
        <w:t>2</w:t>
      </w:r>
      <w:proofErr w:type="gramEnd"/>
      <w:r w:rsidRPr="00F57A87">
        <w:rPr>
          <w:rFonts w:ascii="Times New Roman" w:eastAsia="Times New Roman" w:hAnsi="Times New Roman" w:cs="Times New Roman"/>
          <w:sz w:val="24"/>
          <w:szCs w:val="24"/>
          <w:lang w:eastAsia="fr-FR"/>
        </w:rPr>
        <w:t xml:space="preserve"> (</w:t>
      </w:r>
      <w:proofErr w:type="spellStart"/>
      <w:r w:rsidRPr="00F57A87">
        <w:rPr>
          <w:rFonts w:ascii="Times New Roman" w:eastAsia="Times New Roman" w:hAnsi="Times New Roman" w:cs="Times New Roman"/>
          <w:sz w:val="24"/>
          <w:szCs w:val="24"/>
          <w:lang w:eastAsia="fr-FR"/>
        </w:rPr>
        <w:t>diséléniure</w:t>
      </w:r>
      <w:proofErr w:type="spellEnd"/>
      <w:r w:rsidRPr="00F57A87">
        <w:rPr>
          <w:rFonts w:ascii="Times New Roman" w:eastAsia="Times New Roman" w:hAnsi="Times New Roman" w:cs="Times New Roman"/>
          <w:sz w:val="24"/>
          <w:szCs w:val="24"/>
          <w:lang w:eastAsia="fr-FR"/>
        </w:rPr>
        <w:t xml:space="preserve"> de cuivre, d’indium et de gallium). Elles peuvent respectivement atteindre des rendements </w:t>
      </w:r>
      <w:proofErr w:type="gramStart"/>
      <w:r w:rsidRPr="00F57A87">
        <w:rPr>
          <w:rFonts w:ascii="Times New Roman" w:eastAsia="Times New Roman" w:hAnsi="Times New Roman" w:cs="Times New Roman"/>
          <w:sz w:val="24"/>
          <w:szCs w:val="24"/>
          <w:lang w:eastAsia="fr-FR"/>
        </w:rPr>
        <w:t>records</w:t>
      </w:r>
      <w:proofErr w:type="gramEnd"/>
      <w:r w:rsidRPr="00F57A87">
        <w:rPr>
          <w:rFonts w:ascii="Times New Roman" w:eastAsia="Times New Roman" w:hAnsi="Times New Roman" w:cs="Times New Roman"/>
          <w:sz w:val="24"/>
          <w:szCs w:val="24"/>
          <w:lang w:eastAsia="fr-FR"/>
        </w:rPr>
        <w:t xml:space="preserve"> pour des cellules photovoltaïques de 16,3 %, 17,3 % et 20,3 %. L’intérêt de ces filières réside dans la faible quantité de matériaux requis et l’utilisation de procédés d’élaboration compatibles avec des grandes surfaces sur tout type de substrat souple ou rigide ; avec à la clé, une réduction des coûts de production. En effet, ces matériaux sont beaucoup plus absorbants que le silicium* cristallin (avec des coefficients d’absorption jusqu’à 100 fois supérieurs) et ne nécessitent donc que quelques microns d’épaisseur (contre ~ 200 </w:t>
      </w:r>
      <w:proofErr w:type="spellStart"/>
      <w:r w:rsidRPr="00F57A87">
        <w:rPr>
          <w:rFonts w:ascii="Times New Roman" w:eastAsia="Times New Roman" w:hAnsi="Times New Roman" w:cs="Times New Roman"/>
          <w:sz w:val="24"/>
          <w:szCs w:val="24"/>
          <w:lang w:eastAsia="fr-FR"/>
        </w:rPr>
        <w:t>μm</w:t>
      </w:r>
      <w:proofErr w:type="spellEnd"/>
      <w:r w:rsidRPr="00F57A87">
        <w:rPr>
          <w:rFonts w:ascii="Times New Roman" w:eastAsia="Times New Roman" w:hAnsi="Times New Roman" w:cs="Times New Roman"/>
          <w:sz w:val="24"/>
          <w:szCs w:val="24"/>
          <w:lang w:eastAsia="fr-FR"/>
        </w:rPr>
        <w:t xml:space="preserve"> pour le silicium cristallin) pour absorber tous les photons d’énergie supérieure au gap.</w:t>
      </w:r>
    </w:p>
    <w:p w:rsidR="00F57A87" w:rsidRPr="00F57A87" w:rsidRDefault="00F57A87" w:rsidP="00F57A87">
      <w:pPr>
        <w:pStyle w:val="Titre1"/>
        <w:spacing w:before="0" w:line="360" w:lineRule="auto"/>
        <w:rPr>
          <w:rFonts w:asciiTheme="majorBidi" w:hAnsiTheme="majorBidi"/>
          <w:color w:val="auto"/>
        </w:rPr>
      </w:pPr>
      <w:hyperlink r:id="rId4" w:anchor="tocfrom1n1" w:history="1">
        <w:r w:rsidRPr="00F57A87">
          <w:rPr>
            <w:rStyle w:val="Lienhypertexte"/>
            <w:rFonts w:asciiTheme="majorBidi" w:hAnsiTheme="majorBidi"/>
            <w:color w:val="auto"/>
            <w:u w:val="none"/>
          </w:rPr>
          <w:t xml:space="preserve">Filière </w:t>
        </w:r>
        <w:proofErr w:type="spellStart"/>
        <w:r w:rsidRPr="00F57A87">
          <w:rPr>
            <w:rStyle w:val="Lienhypertexte"/>
            <w:rFonts w:asciiTheme="majorBidi" w:hAnsiTheme="majorBidi"/>
            <w:color w:val="auto"/>
            <w:u w:val="none"/>
          </w:rPr>
          <w:t>CdTe</w:t>
        </w:r>
        <w:proofErr w:type="spellEnd"/>
      </w:hyperlink>
    </w:p>
    <w:p w:rsidR="00F57A87" w:rsidRDefault="00F57A87" w:rsidP="00F57A87">
      <w:pPr>
        <w:pStyle w:val="texte"/>
        <w:spacing w:before="0" w:beforeAutospacing="0" w:after="0" w:afterAutospacing="0" w:line="360" w:lineRule="auto"/>
        <w:jc w:val="both"/>
      </w:pPr>
      <w:r>
        <w:t xml:space="preserve">La filière </w:t>
      </w:r>
      <w:proofErr w:type="spellStart"/>
      <w:r>
        <w:t>CdTe</w:t>
      </w:r>
      <w:proofErr w:type="spellEnd"/>
      <w:r>
        <w:t xml:space="preserve"> a connu un développement fulgurant ces dernières années, portée par sa compétitivité en termes de coût, de rendement de conversion et de procédé de fabrication. Actuellement, la filière </w:t>
      </w:r>
      <w:proofErr w:type="spellStart"/>
      <w:r>
        <w:t>CdTe</w:t>
      </w:r>
      <w:proofErr w:type="spellEnd"/>
      <w:r>
        <w:t xml:space="preserve"> est la technologie couches minces leader de l’industrie photovoltaïque ; elle permet d’atteindre des rendements de modules commerciaux allant jusqu’à 12,6 %. Le </w:t>
      </w:r>
      <w:proofErr w:type="spellStart"/>
      <w:r>
        <w:t>CdTe</w:t>
      </w:r>
      <w:proofErr w:type="spellEnd"/>
      <w:r>
        <w:t xml:space="preserve"> a un gap direct (ou « bande interdite* », cf. II.6) de 1,45 eV et est donc bien adapté au spectre solaire. Des techniques de dépôt simples et appropriées pour une production à bas coût ont été développées (telles que la sublimation* ou l’électro dépôt).</w:t>
      </w:r>
    </w:p>
    <w:p w:rsidR="00F57A87" w:rsidRDefault="00F57A87" w:rsidP="00F57A87">
      <w:pPr>
        <w:pStyle w:val="texte"/>
        <w:spacing w:before="0" w:beforeAutospacing="0" w:after="0" w:afterAutospacing="0" w:line="360" w:lineRule="auto"/>
        <w:jc w:val="both"/>
      </w:pPr>
      <w:r>
        <w:rPr>
          <w:rStyle w:val="paranumber"/>
        </w:rPr>
        <w:t>3</w:t>
      </w:r>
      <w:r>
        <w:t xml:space="preserve">Dans cette filière (figure 1a) on dépose d’abord une couche de </w:t>
      </w:r>
      <w:proofErr w:type="spellStart"/>
      <w:r>
        <w:t>CdS</w:t>
      </w:r>
      <w:proofErr w:type="spellEnd"/>
      <w:r>
        <w:t xml:space="preserve"> (sulfure de cadmium) de type </w:t>
      </w:r>
      <w:r>
        <w:rPr>
          <w:rStyle w:val="Accentuation"/>
        </w:rPr>
        <w:t>n</w:t>
      </w:r>
      <w:r>
        <w:t xml:space="preserve"> sur un substrat de verre/SnO</w:t>
      </w:r>
      <w:r>
        <w:rPr>
          <w:vertAlign w:val="subscript"/>
        </w:rPr>
        <w:t>2</w:t>
      </w:r>
      <w:r>
        <w:t xml:space="preserve"> dopé F, puis une couche de </w:t>
      </w:r>
      <w:proofErr w:type="spellStart"/>
      <w:r>
        <w:t>CdTe</w:t>
      </w:r>
      <w:proofErr w:type="spellEnd"/>
      <w:r>
        <w:t xml:space="preserve"> de type </w:t>
      </w:r>
      <w:r>
        <w:rPr>
          <w:rStyle w:val="Accentuation"/>
        </w:rPr>
        <w:t>p</w:t>
      </w:r>
      <w:r>
        <w:t xml:space="preserve"> (d’environ 3 à 7 microns) et enfin une couche conductrice de carbone dopée cuivre ou d’antimoniure de tellure qui sert de contact-arrière. Le substrat de verre couvert de SnO</w:t>
      </w:r>
      <w:r>
        <w:rPr>
          <w:vertAlign w:val="subscript"/>
        </w:rPr>
        <w:t>2</w:t>
      </w:r>
      <w:r>
        <w:t xml:space="preserve"> dopé F sert à la fois de contact et de fenêtre-avant permettant de laisser passer le maximum de lumière pour qu’elle soit ensuite absorbée par la couche absorbeur de </w:t>
      </w:r>
      <w:proofErr w:type="spellStart"/>
      <w:r>
        <w:t>CdTe</w:t>
      </w:r>
      <w:proofErr w:type="spellEnd"/>
      <w:r>
        <w:t xml:space="preserve">. Le dépôt de </w:t>
      </w:r>
      <w:proofErr w:type="spellStart"/>
      <w:r>
        <w:t>CdTe</w:t>
      </w:r>
      <w:proofErr w:type="spellEnd"/>
      <w:r>
        <w:t xml:space="preserve"> se fait généralement par sublimation sous vide à partir de sources portées à 600 – 700 °C conduisant à des vitesses de dépôt de plusieurs microns par minute, le substrat de verre étant à 500 °C environ.</w:t>
      </w:r>
    </w:p>
    <w:p w:rsidR="00F57A87" w:rsidRDefault="00F57A87" w:rsidP="00F57A87">
      <w:pPr>
        <w:pStyle w:val="texte"/>
        <w:spacing w:before="0" w:beforeAutospacing="0" w:after="0" w:afterAutospacing="0" w:line="360" w:lineRule="auto"/>
        <w:jc w:val="both"/>
      </w:pPr>
      <w:r>
        <w:rPr>
          <w:rStyle w:val="paranumber"/>
        </w:rPr>
        <w:t>4</w:t>
      </w:r>
      <w:r>
        <w:t xml:space="preserve">La combinaison de rendements élevés avec la robustesse de la structure et des procédés à haut débit est à l’origine de l’essor de cette filière. Toutefois, on lui reproche souvent l’utilisation d’un matériau toxique, le cadmium, bien que celui-ci soit présent en faible </w:t>
      </w:r>
      <w:proofErr w:type="gramStart"/>
      <w:r>
        <w:t>quantité</w:t>
      </w:r>
      <w:proofErr w:type="gramEnd"/>
      <w:r>
        <w:t xml:space="preserve"> et que toutes les précautions aient été prises tant dans le procédé de fabrication que dans la sécurisation du module et son recyclage en fin de vie.</w:t>
      </w:r>
    </w:p>
    <w:p w:rsidR="00F57A87" w:rsidRDefault="00F57A87" w:rsidP="00F57A87">
      <w:pPr>
        <w:jc w:val="center"/>
      </w:pPr>
    </w:p>
    <w:p w:rsidR="00F57A87" w:rsidRPr="00F57A87" w:rsidRDefault="00F57A87" w:rsidP="00F57A87">
      <w:pPr>
        <w:jc w:val="center"/>
      </w:pPr>
      <w:r>
        <w:rPr>
          <w:noProof/>
          <w:lang w:eastAsia="fr-FR"/>
        </w:rPr>
        <w:drawing>
          <wp:inline distT="0" distB="0" distL="0" distR="0">
            <wp:extent cx="4987913" cy="3156667"/>
            <wp:effectExtent l="19050" t="0" r="3187" b="0"/>
            <wp:docPr id="10" name="Image 10" descr="C:\Users\MAISON XP\Desktop\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ISON XP\Desktop\img-1.jpg"/>
                    <pic:cNvPicPr>
                      <a:picLocks noChangeAspect="1" noChangeArrowheads="1"/>
                    </pic:cNvPicPr>
                  </pic:nvPicPr>
                  <pic:blipFill>
                    <a:blip r:embed="rId5"/>
                    <a:srcRect/>
                    <a:stretch>
                      <a:fillRect/>
                    </a:stretch>
                  </pic:blipFill>
                  <pic:spPr bwMode="auto">
                    <a:xfrm>
                      <a:off x="0" y="0"/>
                      <a:ext cx="4991868" cy="3159170"/>
                    </a:xfrm>
                    <a:prstGeom prst="rect">
                      <a:avLst/>
                    </a:prstGeom>
                    <a:noFill/>
                    <a:ln w="9525">
                      <a:noFill/>
                      <a:miter lim="800000"/>
                      <a:headEnd/>
                      <a:tailEnd/>
                    </a:ln>
                  </pic:spPr>
                </pic:pic>
              </a:graphicData>
            </a:graphic>
          </wp:inline>
        </w:drawing>
      </w:r>
    </w:p>
    <w:p w:rsidR="00F57A87" w:rsidRDefault="00F57A87" w:rsidP="00F57A87">
      <w:pPr>
        <w:rPr>
          <w:rFonts w:asciiTheme="majorBidi" w:hAnsiTheme="majorBidi" w:cstheme="majorBidi"/>
          <w:sz w:val="24"/>
          <w:szCs w:val="24"/>
        </w:rPr>
      </w:pPr>
      <w:r w:rsidRPr="00F57A87">
        <w:rPr>
          <w:rFonts w:asciiTheme="majorBidi" w:hAnsiTheme="majorBidi" w:cstheme="majorBidi"/>
          <w:sz w:val="24"/>
          <w:szCs w:val="24"/>
        </w:rPr>
        <w:t>Fig. 1 – a) Schéma d’une cellule solaire de type Verre/Sn02 </w:t>
      </w:r>
      <w:proofErr w:type="gramStart"/>
      <w:r w:rsidRPr="00F57A87">
        <w:rPr>
          <w:rFonts w:asciiTheme="majorBidi" w:hAnsiTheme="majorBidi" w:cstheme="majorBidi"/>
          <w:sz w:val="24"/>
          <w:szCs w:val="24"/>
        </w:rPr>
        <w:t>:F</w:t>
      </w:r>
      <w:proofErr w:type="gramEnd"/>
      <w:r w:rsidRPr="00F57A87">
        <w:rPr>
          <w:rFonts w:asciiTheme="majorBidi" w:hAnsiTheme="majorBidi" w:cstheme="majorBidi"/>
          <w:sz w:val="24"/>
          <w:szCs w:val="24"/>
        </w:rPr>
        <w:t>/</w:t>
      </w:r>
      <w:proofErr w:type="spellStart"/>
      <w:r w:rsidRPr="00F57A87">
        <w:rPr>
          <w:rFonts w:asciiTheme="majorBidi" w:hAnsiTheme="majorBidi" w:cstheme="majorBidi"/>
          <w:sz w:val="24"/>
          <w:szCs w:val="24"/>
        </w:rPr>
        <w:t>CdS</w:t>
      </w:r>
      <w:proofErr w:type="spellEnd"/>
      <w:r w:rsidRPr="00F57A87">
        <w:rPr>
          <w:rFonts w:asciiTheme="majorBidi" w:hAnsiTheme="majorBidi" w:cstheme="majorBidi"/>
          <w:sz w:val="24"/>
          <w:szCs w:val="24"/>
        </w:rPr>
        <w:t>/</w:t>
      </w:r>
      <w:proofErr w:type="spellStart"/>
      <w:r w:rsidRPr="00F57A87">
        <w:rPr>
          <w:rFonts w:asciiTheme="majorBidi" w:hAnsiTheme="majorBidi" w:cstheme="majorBidi"/>
          <w:sz w:val="24"/>
          <w:szCs w:val="24"/>
        </w:rPr>
        <w:t>CdTe</w:t>
      </w:r>
      <w:proofErr w:type="spellEnd"/>
      <w:r w:rsidRPr="00F57A87">
        <w:rPr>
          <w:rFonts w:asciiTheme="majorBidi" w:hAnsiTheme="majorBidi" w:cstheme="majorBidi"/>
          <w:sz w:val="24"/>
          <w:szCs w:val="24"/>
        </w:rPr>
        <w:t>/contact arrière.</w:t>
      </w:r>
    </w:p>
    <w:p w:rsidR="00F57A87" w:rsidRPr="00F57A87" w:rsidRDefault="00F57A87" w:rsidP="00F57A87">
      <w:pPr>
        <w:rPr>
          <w:rFonts w:asciiTheme="majorBidi" w:hAnsiTheme="majorBidi" w:cstheme="majorBidi"/>
          <w:sz w:val="24"/>
          <w:szCs w:val="24"/>
        </w:rPr>
      </w:pPr>
      <w:r>
        <w:rPr>
          <w:rFonts w:asciiTheme="majorBidi" w:hAnsiTheme="majorBidi" w:cstheme="majorBidi"/>
          <w:sz w:val="24"/>
          <w:szCs w:val="24"/>
        </w:rPr>
        <w:t xml:space="preserve">            </w:t>
      </w:r>
      <w:r w:rsidRPr="00F57A87">
        <w:rPr>
          <w:rFonts w:asciiTheme="majorBidi" w:hAnsiTheme="majorBidi" w:cstheme="majorBidi"/>
          <w:sz w:val="24"/>
          <w:szCs w:val="24"/>
        </w:rPr>
        <w:t xml:space="preserve"> b) Schéma d’une cellule solaire de type Verre/Mo/</w:t>
      </w:r>
      <w:proofErr w:type="gramStart"/>
      <w:r w:rsidRPr="00F57A87">
        <w:rPr>
          <w:rFonts w:asciiTheme="majorBidi" w:hAnsiTheme="majorBidi" w:cstheme="majorBidi"/>
          <w:sz w:val="24"/>
          <w:szCs w:val="24"/>
        </w:rPr>
        <w:t>Cu(</w:t>
      </w:r>
      <w:proofErr w:type="gramEnd"/>
      <w:r w:rsidRPr="00F57A87">
        <w:rPr>
          <w:rFonts w:asciiTheme="majorBidi" w:hAnsiTheme="majorBidi" w:cstheme="majorBidi"/>
          <w:sz w:val="24"/>
          <w:szCs w:val="24"/>
        </w:rPr>
        <w:t>In, Ga)Se2/</w:t>
      </w:r>
      <w:proofErr w:type="spellStart"/>
      <w:r w:rsidRPr="00F57A87">
        <w:rPr>
          <w:rFonts w:asciiTheme="majorBidi" w:hAnsiTheme="majorBidi" w:cstheme="majorBidi"/>
          <w:sz w:val="24"/>
          <w:szCs w:val="24"/>
        </w:rPr>
        <w:t>CdS</w:t>
      </w:r>
      <w:proofErr w:type="spellEnd"/>
      <w:r w:rsidRPr="00F57A87">
        <w:rPr>
          <w:rFonts w:asciiTheme="majorBidi" w:hAnsiTheme="majorBidi" w:cstheme="majorBidi"/>
          <w:sz w:val="24"/>
          <w:szCs w:val="24"/>
        </w:rPr>
        <w:t>/i-Zn0/Zn0 :Al</w:t>
      </w:r>
    </w:p>
    <w:p w:rsidR="00F57A87" w:rsidRPr="00F57A87" w:rsidRDefault="00F57A87" w:rsidP="005B5FE5">
      <w:pPr>
        <w:pStyle w:val="Titre1"/>
        <w:spacing w:before="0" w:line="360" w:lineRule="auto"/>
        <w:jc w:val="both"/>
        <w:rPr>
          <w:rFonts w:asciiTheme="majorBidi" w:hAnsiTheme="majorBidi"/>
          <w:color w:val="auto"/>
          <w:sz w:val="24"/>
          <w:szCs w:val="24"/>
        </w:rPr>
      </w:pPr>
      <w:hyperlink r:id="rId6" w:anchor="tocfrom1n2" w:history="1">
        <w:r w:rsidRPr="00F57A87">
          <w:rPr>
            <w:rStyle w:val="Lienhypertexte"/>
            <w:rFonts w:asciiTheme="majorBidi" w:hAnsiTheme="majorBidi"/>
            <w:color w:val="auto"/>
            <w:sz w:val="24"/>
            <w:szCs w:val="24"/>
            <w:u w:val="none"/>
          </w:rPr>
          <w:t xml:space="preserve">Filière </w:t>
        </w:r>
        <w:proofErr w:type="spellStart"/>
        <w:r w:rsidRPr="00F57A87">
          <w:rPr>
            <w:rStyle w:val="Lienhypertexte"/>
            <w:rFonts w:asciiTheme="majorBidi" w:hAnsiTheme="majorBidi"/>
            <w:color w:val="auto"/>
            <w:sz w:val="24"/>
            <w:szCs w:val="24"/>
            <w:u w:val="none"/>
          </w:rPr>
          <w:t>CIGSe</w:t>
        </w:r>
        <w:proofErr w:type="spellEnd"/>
      </w:hyperlink>
    </w:p>
    <w:p w:rsidR="00F57A87" w:rsidRPr="00F57A87" w:rsidRDefault="00F57A87" w:rsidP="005B5FE5">
      <w:pPr>
        <w:pStyle w:val="texte"/>
        <w:spacing w:before="0" w:beforeAutospacing="0" w:after="0" w:afterAutospacing="0" w:line="360" w:lineRule="auto"/>
        <w:jc w:val="both"/>
      </w:pPr>
      <w:r w:rsidRPr="00F57A87">
        <w:rPr>
          <w:rStyle w:val="paranumber"/>
        </w:rPr>
        <w:t>5</w:t>
      </w:r>
      <w:r w:rsidRPr="00F57A87">
        <w:t xml:space="preserve">Actuellement, dans l’univers des couches minces la technologie </w:t>
      </w:r>
      <w:proofErr w:type="spellStart"/>
      <w:r w:rsidRPr="00F57A87">
        <w:t>CIGSe</w:t>
      </w:r>
      <w:proofErr w:type="spellEnd"/>
      <w:r w:rsidRPr="00F57A87">
        <w:t xml:space="preserve"> est considérée comme celle qui présente le meilleur potentiel en termes de rendement avec des rendements de modules* de 11 % à 14 %, très proches de ceux du silicium </w:t>
      </w:r>
      <w:proofErr w:type="spellStart"/>
      <w:r w:rsidRPr="00F57A87">
        <w:t>polycristallin</w:t>
      </w:r>
      <w:proofErr w:type="spellEnd"/>
      <w:r w:rsidRPr="00F57A87">
        <w:t>.</w:t>
      </w:r>
    </w:p>
    <w:p w:rsidR="00F57A87" w:rsidRPr="00F57A87" w:rsidRDefault="00F57A87" w:rsidP="005B5FE5">
      <w:pPr>
        <w:pStyle w:val="texte"/>
        <w:spacing w:before="0" w:beforeAutospacing="0" w:after="0" w:afterAutospacing="0" w:line="360" w:lineRule="auto"/>
        <w:jc w:val="both"/>
      </w:pPr>
      <w:r w:rsidRPr="00F57A87">
        <w:rPr>
          <w:rStyle w:val="paranumber"/>
        </w:rPr>
        <w:t>6</w:t>
      </w:r>
      <w:r w:rsidRPr="00F57A87">
        <w:t xml:space="preserve">La figure 1b montre la structure de base des cellules </w:t>
      </w:r>
      <w:proofErr w:type="spellStart"/>
      <w:r w:rsidRPr="00F57A87">
        <w:t>CIGSe</w:t>
      </w:r>
      <w:proofErr w:type="spellEnd"/>
      <w:r w:rsidRPr="00F57A87">
        <w:t xml:space="preserve">. L’empilement de couches commence par le </w:t>
      </w:r>
      <w:proofErr w:type="spellStart"/>
      <w:r w:rsidRPr="00F57A87">
        <w:t>contactarrière</w:t>
      </w:r>
      <w:proofErr w:type="spellEnd"/>
      <w:r w:rsidRPr="00F57A87">
        <w:t xml:space="preserve"> métallique de molybdène déposé sur verre par pulvérisation cathodique*. La couche de </w:t>
      </w:r>
      <w:proofErr w:type="spellStart"/>
      <w:r w:rsidRPr="00F57A87">
        <w:t>CIGSe</w:t>
      </w:r>
      <w:proofErr w:type="spellEnd"/>
      <w:r w:rsidRPr="00F57A87">
        <w:t xml:space="preserve">, d’environ 2 microns, est déposée ensuite par </w:t>
      </w:r>
      <w:proofErr w:type="spellStart"/>
      <w:r w:rsidRPr="00F57A87">
        <w:t>co</w:t>
      </w:r>
      <w:proofErr w:type="spellEnd"/>
      <w:r w:rsidRPr="00F57A87">
        <w:t xml:space="preserve">-évaporation sous ultravide à des températures de substrat d’environ 550 °C. La substitution de l’In par du Ga permet de faire varier sa largeur de bande interdite entre 1 eV et 1,7 eV (la composition la plus efficace atteint une valeur de 1,15 eV). Une couche </w:t>
      </w:r>
      <w:proofErr w:type="spellStart"/>
      <w:r w:rsidRPr="00F57A87">
        <w:t>interfaciale</w:t>
      </w:r>
      <w:proofErr w:type="spellEnd"/>
      <w:r w:rsidRPr="00F57A87">
        <w:t xml:space="preserve"> (dite « couche tampon ») de </w:t>
      </w:r>
      <w:proofErr w:type="spellStart"/>
      <w:r w:rsidRPr="00F57A87">
        <w:t>CdS</w:t>
      </w:r>
      <w:proofErr w:type="spellEnd"/>
      <w:r w:rsidRPr="00F57A87">
        <w:t xml:space="preserve"> ou, de plus en plus de </w:t>
      </w:r>
      <w:proofErr w:type="spellStart"/>
      <w:r w:rsidRPr="00F57A87">
        <w:t>ZnS</w:t>
      </w:r>
      <w:proofErr w:type="spellEnd"/>
      <w:r w:rsidRPr="00F57A87">
        <w:t xml:space="preserve"> (sulfure de zinc), de type </w:t>
      </w:r>
      <w:r w:rsidRPr="00F57A87">
        <w:rPr>
          <w:rStyle w:val="Accentuation"/>
        </w:rPr>
        <w:t>n</w:t>
      </w:r>
      <w:r w:rsidRPr="00F57A87">
        <w:t xml:space="preserve"> d’une cinquantaine de nanomètres est ensuite déposée par dépôt chimique en solution. Elle permet d’adapter l’interface entre le </w:t>
      </w:r>
      <w:proofErr w:type="spellStart"/>
      <w:r w:rsidRPr="00F57A87">
        <w:t>CIGSe</w:t>
      </w:r>
      <w:proofErr w:type="spellEnd"/>
      <w:r w:rsidRPr="00F57A87">
        <w:t xml:space="preserve"> et les couches de </w:t>
      </w:r>
      <w:proofErr w:type="spellStart"/>
      <w:r w:rsidRPr="00F57A87">
        <w:t>ZnO</w:t>
      </w:r>
      <w:proofErr w:type="spellEnd"/>
      <w:r w:rsidRPr="00F57A87">
        <w:t xml:space="preserve"> (oxyde de zinc) non dopé (i-</w:t>
      </w:r>
      <w:proofErr w:type="spellStart"/>
      <w:r w:rsidRPr="00F57A87">
        <w:t>ZnO</w:t>
      </w:r>
      <w:proofErr w:type="spellEnd"/>
      <w:r w:rsidRPr="00F57A87">
        <w:t xml:space="preserve">) et d’oxyde transparent conducteur de </w:t>
      </w:r>
      <w:proofErr w:type="spellStart"/>
      <w:r w:rsidRPr="00F57A87">
        <w:t>ZnO</w:t>
      </w:r>
      <w:proofErr w:type="spellEnd"/>
      <w:r w:rsidRPr="00F57A87">
        <w:t xml:space="preserve"> dopé à l’aluminium (</w:t>
      </w:r>
      <w:proofErr w:type="spellStart"/>
      <w:r w:rsidRPr="00F57A87">
        <w:t>ZnO</w:t>
      </w:r>
      <w:proofErr w:type="spellEnd"/>
      <w:r w:rsidRPr="00F57A87">
        <w:t xml:space="preserve"> : Al) de type </w:t>
      </w:r>
      <w:r w:rsidRPr="00F57A87">
        <w:rPr>
          <w:rStyle w:val="Accentuation"/>
        </w:rPr>
        <w:t>n</w:t>
      </w:r>
      <w:r w:rsidRPr="00F57A87">
        <w:t xml:space="preserve"> que l’on dépose ensuite par pulvérisation cathodique pour prendre le contact avant tout en laissant passer un maximum de lumière – qui sera ensuite absorbée par le </w:t>
      </w:r>
      <w:proofErr w:type="spellStart"/>
      <w:r w:rsidRPr="00F57A87">
        <w:t>CIGSe</w:t>
      </w:r>
      <w:proofErr w:type="spellEnd"/>
      <w:r w:rsidRPr="00F57A87">
        <w:t>.</w:t>
      </w:r>
    </w:p>
    <w:p w:rsidR="00F57A87" w:rsidRPr="005B5FE5" w:rsidRDefault="00F57A87" w:rsidP="005B5FE5">
      <w:pPr>
        <w:pStyle w:val="texte"/>
        <w:spacing w:before="0" w:beforeAutospacing="0" w:after="0" w:afterAutospacing="0" w:line="360" w:lineRule="auto"/>
        <w:jc w:val="both"/>
        <w:rPr>
          <w:rFonts w:asciiTheme="majorBidi" w:hAnsiTheme="majorBidi" w:cstheme="majorBidi"/>
        </w:rPr>
      </w:pPr>
      <w:r w:rsidRPr="00F57A87">
        <w:rPr>
          <w:rStyle w:val="paranumber"/>
        </w:rPr>
        <w:t>7</w:t>
      </w:r>
      <w:r w:rsidRPr="00F57A87">
        <w:t xml:space="preserve">Actuellement, de nombreuses recherches portent sur la diminution des coûts de fabrication des cellules solaires à base de </w:t>
      </w:r>
      <w:proofErr w:type="spellStart"/>
      <w:r w:rsidRPr="00F57A87">
        <w:t>CIGSe</w:t>
      </w:r>
      <w:proofErr w:type="spellEnd"/>
      <w:r w:rsidRPr="00F57A87">
        <w:t xml:space="preserve">, avec par exemple la mise au point des dépôts </w:t>
      </w:r>
      <w:r w:rsidRPr="00F57A87">
        <w:lastRenderedPageBreak/>
        <w:t xml:space="preserve">électrolytiques qui constituent un des leviers pour abaisser le coût de production ou le remplacement de l’indium par des éléments abondants tels que les composés de type </w:t>
      </w:r>
      <w:proofErr w:type="spellStart"/>
      <w:r w:rsidRPr="00F57A87">
        <w:t>kesterite</w:t>
      </w:r>
      <w:proofErr w:type="spellEnd"/>
      <w:r w:rsidRPr="00F57A87">
        <w:t xml:space="preserve"> (</w:t>
      </w:r>
      <w:proofErr w:type="gramStart"/>
      <w:r w:rsidRPr="00F57A87">
        <w:t>Cu</w:t>
      </w:r>
      <w:r w:rsidRPr="00F57A87">
        <w:rPr>
          <w:vertAlign w:val="subscript"/>
        </w:rPr>
        <w:t>2</w:t>
      </w:r>
      <w:r w:rsidRPr="00F57A87">
        <w:t>(</w:t>
      </w:r>
      <w:proofErr w:type="gramEnd"/>
      <w:r w:rsidRPr="00F57A87">
        <w:t>Zn, Sn) S</w:t>
      </w:r>
      <w:r w:rsidRPr="00F57A87">
        <w:rPr>
          <w:vertAlign w:val="subscript"/>
        </w:rPr>
        <w:t>4</w:t>
      </w:r>
      <w:r w:rsidRPr="00F57A87">
        <w:t>, CZTS).</w:t>
      </w:r>
    </w:p>
    <w:p w:rsidR="00F57A87" w:rsidRPr="005B5FE5" w:rsidRDefault="00F57A87" w:rsidP="005B5FE5">
      <w:pPr>
        <w:pStyle w:val="Titre1"/>
        <w:spacing w:before="0" w:line="360" w:lineRule="auto"/>
        <w:jc w:val="both"/>
        <w:rPr>
          <w:rFonts w:asciiTheme="majorBidi" w:hAnsiTheme="majorBidi"/>
          <w:color w:val="auto"/>
          <w:sz w:val="24"/>
          <w:szCs w:val="24"/>
        </w:rPr>
      </w:pPr>
      <w:hyperlink r:id="rId7" w:anchor="tocfrom1n3" w:history="1">
        <w:r w:rsidRPr="005B5FE5">
          <w:rPr>
            <w:rStyle w:val="Lienhypertexte"/>
            <w:rFonts w:asciiTheme="majorBidi" w:hAnsiTheme="majorBidi"/>
            <w:color w:val="auto"/>
            <w:sz w:val="24"/>
            <w:szCs w:val="24"/>
            <w:u w:val="none"/>
          </w:rPr>
          <w:t>Filière silicium et alliages</w:t>
        </w:r>
      </w:hyperlink>
    </w:p>
    <w:p w:rsidR="00F57A87" w:rsidRPr="005B5FE5" w:rsidRDefault="00F57A87" w:rsidP="005B5FE5">
      <w:pPr>
        <w:pStyle w:val="texte"/>
        <w:spacing w:before="0" w:beforeAutospacing="0" w:after="0" w:afterAutospacing="0" w:line="360" w:lineRule="auto"/>
        <w:jc w:val="both"/>
        <w:rPr>
          <w:rFonts w:asciiTheme="majorBidi" w:hAnsiTheme="majorBidi" w:cstheme="majorBidi"/>
        </w:rPr>
      </w:pPr>
      <w:r w:rsidRPr="005B5FE5">
        <w:rPr>
          <w:rStyle w:val="paranumber"/>
          <w:rFonts w:asciiTheme="majorBidi" w:hAnsiTheme="majorBidi" w:cstheme="majorBidi"/>
        </w:rPr>
        <w:t>8</w:t>
      </w:r>
      <w:r w:rsidRPr="005B5FE5">
        <w:rPr>
          <w:rFonts w:asciiTheme="majorBidi" w:hAnsiTheme="majorBidi" w:cstheme="majorBidi"/>
        </w:rPr>
        <w:t xml:space="preserve">Le silicium amorphe hydrogéné* (a-Si : H) est aujourd’hui le semi-conducteur de référence pour l’électronique grande surface. En effet, déposé par des procédés plasma à basse température (200 °C) il s’est imposé grâce ses avantages : </w:t>
      </w:r>
      <w:r w:rsidRPr="005B5FE5">
        <w:rPr>
          <w:rStyle w:val="Accentuation"/>
          <w:rFonts w:asciiTheme="majorBidi" w:hAnsiTheme="majorBidi" w:cstheme="majorBidi"/>
        </w:rPr>
        <w:t>i)</w:t>
      </w:r>
      <w:r w:rsidRPr="005B5FE5">
        <w:rPr>
          <w:rFonts w:asciiTheme="majorBidi" w:hAnsiTheme="majorBidi" w:cstheme="majorBidi"/>
        </w:rPr>
        <w:t xml:space="preserve"> abondant et non toxique, </w:t>
      </w:r>
      <w:r w:rsidRPr="005B5FE5">
        <w:rPr>
          <w:rStyle w:val="Accentuation"/>
          <w:rFonts w:asciiTheme="majorBidi" w:hAnsiTheme="majorBidi" w:cstheme="majorBidi"/>
        </w:rPr>
        <w:t>ii)</w:t>
      </w:r>
      <w:r w:rsidRPr="005B5FE5">
        <w:rPr>
          <w:rFonts w:asciiTheme="majorBidi" w:hAnsiTheme="majorBidi" w:cstheme="majorBidi"/>
        </w:rPr>
        <w:t xml:space="preserve"> possibilité d’être déposé sur de grandes surfaces (~ 6 m</w:t>
      </w:r>
      <w:r w:rsidRPr="005B5FE5">
        <w:rPr>
          <w:rFonts w:asciiTheme="majorBidi" w:hAnsiTheme="majorBidi" w:cstheme="majorBidi"/>
          <w:vertAlign w:val="superscript"/>
        </w:rPr>
        <w:t>2</w:t>
      </w:r>
      <w:r w:rsidRPr="005B5FE5">
        <w:rPr>
          <w:rFonts w:asciiTheme="majorBidi" w:hAnsiTheme="majorBidi" w:cstheme="majorBidi"/>
        </w:rPr>
        <w:t xml:space="preserve">) de façon homogène et sur tout type de substrat, </w:t>
      </w:r>
      <w:r w:rsidRPr="005B5FE5">
        <w:rPr>
          <w:rStyle w:val="Accentuation"/>
          <w:rFonts w:asciiTheme="majorBidi" w:hAnsiTheme="majorBidi" w:cstheme="majorBidi"/>
        </w:rPr>
        <w:t>iii)</w:t>
      </w:r>
      <w:r w:rsidRPr="005B5FE5">
        <w:rPr>
          <w:rFonts w:asciiTheme="majorBidi" w:hAnsiTheme="majorBidi" w:cstheme="majorBidi"/>
        </w:rPr>
        <w:t xml:space="preserve"> simplicité avec laquelle on peut le rendre de type </w:t>
      </w:r>
      <w:r w:rsidRPr="005B5FE5">
        <w:rPr>
          <w:rStyle w:val="Accentuation"/>
          <w:rFonts w:asciiTheme="majorBidi" w:hAnsiTheme="majorBidi" w:cstheme="majorBidi"/>
        </w:rPr>
        <w:t>p</w:t>
      </w:r>
      <w:r w:rsidRPr="005B5FE5">
        <w:rPr>
          <w:rFonts w:asciiTheme="majorBidi" w:hAnsiTheme="majorBidi" w:cstheme="majorBidi"/>
        </w:rPr>
        <w:t xml:space="preserve"> ou </w:t>
      </w:r>
      <w:r w:rsidRPr="005B5FE5">
        <w:rPr>
          <w:rStyle w:val="Accentuation"/>
          <w:rFonts w:asciiTheme="majorBidi" w:hAnsiTheme="majorBidi" w:cstheme="majorBidi"/>
        </w:rPr>
        <w:t>n</w:t>
      </w:r>
      <w:r w:rsidRPr="005B5FE5">
        <w:rPr>
          <w:rFonts w:asciiTheme="majorBidi" w:hAnsiTheme="majorBidi" w:cstheme="majorBidi"/>
        </w:rPr>
        <w:t xml:space="preserve"> en ajoutant de la phosphine ou du diborane lors du dépôt, voire de l’allier avec d’autres éléments (carbone, germanium, oxygène, azote) pour obtenir des matériaux semi-conducteurs à bande interdite variable de 1,1 eV jusqu’à 2 eV, voire des isolants. Le développement industriel dans le domaine de l’énergie solaire et des écrans plats à matrice active s’est fait malgré la nature amorphe (désordonnée) du matériau qui pénalise ses propriétés électroniques. À titre d’exemple, la mobilité des électrons* dans le a-Si : H n’est que de 1 cm</w:t>
      </w:r>
      <w:r w:rsidRPr="005B5FE5">
        <w:rPr>
          <w:rFonts w:asciiTheme="majorBidi" w:hAnsiTheme="majorBidi" w:cstheme="majorBidi"/>
          <w:vertAlign w:val="superscript"/>
        </w:rPr>
        <w:t>2</w:t>
      </w:r>
      <w:r w:rsidRPr="005B5FE5">
        <w:rPr>
          <w:rFonts w:asciiTheme="majorBidi" w:hAnsiTheme="majorBidi" w:cstheme="majorBidi"/>
        </w:rPr>
        <w:t>/V. s contre plus de 1 000 pour le c-Si. Qui plus est, ces propriétés sont métastables, c’est-à-dire qu’elles se dégradent sous éclairement et peuvent être restaurées avec un recuit à 180 °C. Ce handicap a été contourné en réalisant des jonctions « PIN » dans lesquelles une fine couche non dopée intrinsèque (</w:t>
      </w:r>
      <w:r w:rsidRPr="005B5FE5">
        <w:rPr>
          <w:rStyle w:val="Accentuation"/>
          <w:rFonts w:asciiTheme="majorBidi" w:hAnsiTheme="majorBidi" w:cstheme="majorBidi"/>
        </w:rPr>
        <w:t>i)</w:t>
      </w:r>
      <w:r w:rsidRPr="005B5FE5">
        <w:rPr>
          <w:rFonts w:asciiTheme="majorBidi" w:hAnsiTheme="majorBidi" w:cstheme="majorBidi"/>
        </w:rPr>
        <w:t xml:space="preserve"> de 0,2 µ m est prise en sandwich entre deux couches dopées </w:t>
      </w:r>
      <w:r w:rsidRPr="005B5FE5">
        <w:rPr>
          <w:rStyle w:val="Accentuation"/>
          <w:rFonts w:asciiTheme="majorBidi" w:hAnsiTheme="majorBidi" w:cstheme="majorBidi"/>
        </w:rPr>
        <w:t>p</w:t>
      </w:r>
      <w:r w:rsidRPr="005B5FE5">
        <w:rPr>
          <w:rFonts w:asciiTheme="majorBidi" w:hAnsiTheme="majorBidi" w:cstheme="majorBidi"/>
        </w:rPr>
        <w:t xml:space="preserve"> et </w:t>
      </w:r>
      <w:r w:rsidRPr="005B5FE5">
        <w:rPr>
          <w:rStyle w:val="Accentuation"/>
          <w:rFonts w:asciiTheme="majorBidi" w:hAnsiTheme="majorBidi" w:cstheme="majorBidi"/>
        </w:rPr>
        <w:t>n</w:t>
      </w:r>
      <w:r w:rsidRPr="005B5FE5">
        <w:rPr>
          <w:rFonts w:asciiTheme="majorBidi" w:hAnsiTheme="majorBidi" w:cstheme="majorBidi"/>
        </w:rPr>
        <w:t xml:space="preserve"> ultrafines (~ 10 nm). Ainsi, la collecte des porteurs ne dépend plus de leur diffusion mais est assurée par leur dérive dans le fort champ électrique* régnant dans la couche intrinsèque.</w:t>
      </w:r>
    </w:p>
    <w:p w:rsidR="005B5FE5" w:rsidRDefault="005B5FE5" w:rsidP="005B5FE5">
      <w:pPr>
        <w:tabs>
          <w:tab w:val="left" w:pos="3669"/>
        </w:tabs>
        <w:spacing w:after="0"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3801755" cy="2576222"/>
            <wp:effectExtent l="19050" t="0" r="8245" b="0"/>
            <wp:docPr id="11" name="Image 11" descr="C:\Users\MAISON XP\Desktop\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AISON XP\Desktop\img-2.jpg"/>
                    <pic:cNvPicPr>
                      <a:picLocks noChangeAspect="1" noChangeArrowheads="1"/>
                    </pic:cNvPicPr>
                  </pic:nvPicPr>
                  <pic:blipFill>
                    <a:blip r:embed="rId8"/>
                    <a:srcRect/>
                    <a:stretch>
                      <a:fillRect/>
                    </a:stretch>
                  </pic:blipFill>
                  <pic:spPr bwMode="auto">
                    <a:xfrm>
                      <a:off x="0" y="0"/>
                      <a:ext cx="3808121" cy="2580536"/>
                    </a:xfrm>
                    <a:prstGeom prst="rect">
                      <a:avLst/>
                    </a:prstGeom>
                    <a:noFill/>
                    <a:ln w="9525">
                      <a:noFill/>
                      <a:miter lim="800000"/>
                      <a:headEnd/>
                      <a:tailEnd/>
                    </a:ln>
                  </pic:spPr>
                </pic:pic>
              </a:graphicData>
            </a:graphic>
          </wp:inline>
        </w:drawing>
      </w:r>
    </w:p>
    <w:p w:rsidR="004E55F3" w:rsidRDefault="005B5FE5" w:rsidP="005B5FE5">
      <w:pPr>
        <w:tabs>
          <w:tab w:val="left" w:pos="2342"/>
        </w:tabs>
        <w:jc w:val="both"/>
        <w:rPr>
          <w:rFonts w:asciiTheme="majorBidi" w:hAnsiTheme="majorBidi" w:cstheme="majorBidi"/>
        </w:rPr>
      </w:pPr>
      <w:r w:rsidRPr="005B5FE5">
        <w:rPr>
          <w:rFonts w:asciiTheme="majorBidi" w:hAnsiTheme="majorBidi" w:cstheme="majorBidi"/>
        </w:rPr>
        <w:t xml:space="preserve">Fig. 2 – Cellule triple jonction PIN/PIN/PIN dans laquelle chaque matériau convertit de façon optimale une tranche du spectre solaire, conduisant </w:t>
      </w:r>
      <w:proofErr w:type="gramStart"/>
      <w:r w:rsidRPr="005B5FE5">
        <w:rPr>
          <w:rFonts w:asciiTheme="majorBidi" w:hAnsiTheme="majorBidi" w:cstheme="majorBidi"/>
        </w:rPr>
        <w:t>a</w:t>
      </w:r>
      <w:proofErr w:type="gramEnd"/>
      <w:r w:rsidRPr="005B5FE5">
        <w:rPr>
          <w:rFonts w:asciiTheme="majorBidi" w:hAnsiTheme="majorBidi" w:cstheme="majorBidi"/>
        </w:rPr>
        <w:t xml:space="preserve"> des records de rendement de 16,3 %</w:t>
      </w:r>
    </w:p>
    <w:p w:rsidR="009713D4" w:rsidRDefault="00A00E19" w:rsidP="00A00E19">
      <w:pPr>
        <w:tabs>
          <w:tab w:val="left" w:pos="2342"/>
        </w:tabs>
        <w:spacing w:line="360" w:lineRule="auto"/>
        <w:jc w:val="both"/>
        <w:rPr>
          <w:rFonts w:asciiTheme="majorBidi" w:hAnsiTheme="majorBidi" w:cstheme="majorBidi"/>
          <w:sz w:val="28"/>
          <w:szCs w:val="28"/>
        </w:rPr>
      </w:pPr>
      <w:r w:rsidRPr="00A00E19">
        <w:rPr>
          <w:rFonts w:asciiTheme="majorBidi" w:hAnsiTheme="majorBidi" w:cstheme="majorBidi"/>
          <w:sz w:val="24"/>
          <w:szCs w:val="24"/>
        </w:rPr>
        <w:lastRenderedPageBreak/>
        <w:t>Par rapport à la structure PIN de base ayant atteint un rendement stable de 10 %, la réalisation de cellules tandem et triple jonction est à la base du fort développement de cette filière, avec des records de rendement de 16,3 %. Ceci est obtenu grâce à l’incorporation de matériaux ayant un gap plus faible que a-Si : H tels que a-</w:t>
      </w:r>
      <w:proofErr w:type="spellStart"/>
      <w:r w:rsidRPr="00A00E19">
        <w:rPr>
          <w:rFonts w:asciiTheme="majorBidi" w:hAnsiTheme="majorBidi" w:cstheme="majorBidi"/>
          <w:sz w:val="24"/>
          <w:szCs w:val="24"/>
        </w:rPr>
        <w:t>SiGe</w:t>
      </w:r>
      <w:proofErr w:type="spellEnd"/>
      <w:r w:rsidRPr="00A00E19">
        <w:rPr>
          <w:rFonts w:asciiTheme="majorBidi" w:hAnsiTheme="majorBidi" w:cstheme="majorBidi"/>
          <w:sz w:val="24"/>
          <w:szCs w:val="24"/>
        </w:rPr>
        <w:t xml:space="preserve"> : H ou µc-Si : H (figure 2). De nombreuses évolutions sont envisageables pour cette filière, en particulier en termes de matériaux avec l’épitaxie basse température, et en termes de structure avec les jonctions radiales à base de </w:t>
      </w:r>
      <w:proofErr w:type="spellStart"/>
      <w:r w:rsidRPr="00A00E19">
        <w:rPr>
          <w:rFonts w:asciiTheme="majorBidi" w:hAnsiTheme="majorBidi" w:cstheme="majorBidi"/>
          <w:sz w:val="24"/>
          <w:szCs w:val="24"/>
        </w:rPr>
        <w:t>nanofils</w:t>
      </w:r>
      <w:proofErr w:type="spellEnd"/>
      <w:r w:rsidRPr="00A00E19">
        <w:rPr>
          <w:rFonts w:asciiTheme="majorBidi" w:hAnsiTheme="majorBidi" w:cstheme="majorBidi"/>
          <w:sz w:val="24"/>
          <w:szCs w:val="24"/>
        </w:rPr>
        <w:t xml:space="preserve"> de silicium. On peut parier que sur le long terme le silicium cristallin adoptera les progrès réalisés dans le domaine des couches minces de silicium et que les deux filières (silicium cristallin et silicium en couches minces) finiront par se confondre. Un premier pas dans cette direction est la réalisation de cellules à hétérojonction dans lesquelles l’émetteur et le champ arrière dans une cellule à base de silicium cristallin sont obtenus par dépôt plasma de couches minces de a-Si : H dopées </w:t>
      </w:r>
      <w:r w:rsidRPr="00A00E19">
        <w:rPr>
          <w:rStyle w:val="Accentuation"/>
          <w:rFonts w:asciiTheme="majorBidi" w:hAnsiTheme="majorBidi" w:cstheme="majorBidi"/>
          <w:sz w:val="24"/>
          <w:szCs w:val="24"/>
        </w:rPr>
        <w:t>p</w:t>
      </w:r>
      <w:r w:rsidRPr="00A00E19">
        <w:rPr>
          <w:rFonts w:asciiTheme="majorBidi" w:hAnsiTheme="majorBidi" w:cstheme="majorBidi"/>
          <w:sz w:val="24"/>
          <w:szCs w:val="24"/>
        </w:rPr>
        <w:t xml:space="preserve"> et </w:t>
      </w:r>
      <w:r w:rsidRPr="00A00E19">
        <w:rPr>
          <w:rStyle w:val="Accentuation"/>
          <w:rFonts w:asciiTheme="majorBidi" w:hAnsiTheme="majorBidi" w:cstheme="majorBidi"/>
          <w:sz w:val="24"/>
          <w:szCs w:val="24"/>
        </w:rPr>
        <w:t>n.</w:t>
      </w:r>
    </w:p>
    <w:p w:rsidR="009713D4" w:rsidRPr="009713D4" w:rsidRDefault="009713D4" w:rsidP="009713D4">
      <w:pPr>
        <w:pStyle w:val="Titre2"/>
        <w:spacing w:before="0" w:beforeAutospacing="0" w:after="0" w:afterAutospacing="0"/>
        <w:rPr>
          <w:rFonts w:asciiTheme="majorBidi" w:hAnsiTheme="majorBidi" w:cstheme="majorBidi"/>
          <w:sz w:val="24"/>
          <w:szCs w:val="24"/>
        </w:rPr>
      </w:pPr>
      <w:r w:rsidRPr="009713D4">
        <w:rPr>
          <w:rFonts w:asciiTheme="majorBidi" w:hAnsiTheme="majorBidi" w:cstheme="majorBidi"/>
          <w:sz w:val="24"/>
          <w:szCs w:val="24"/>
        </w:rPr>
        <w:t>Bibliographie</w:t>
      </w:r>
    </w:p>
    <w:p w:rsidR="009713D4" w:rsidRPr="009713D4" w:rsidRDefault="009713D4" w:rsidP="009713D4">
      <w:pPr>
        <w:pStyle w:val="Titre1"/>
        <w:spacing w:before="0"/>
        <w:rPr>
          <w:rFonts w:asciiTheme="majorBidi" w:hAnsiTheme="majorBidi"/>
          <w:color w:val="auto"/>
          <w:sz w:val="24"/>
          <w:szCs w:val="24"/>
        </w:rPr>
      </w:pPr>
      <w:r w:rsidRPr="009713D4">
        <w:rPr>
          <w:rFonts w:asciiTheme="majorBidi" w:hAnsiTheme="majorBidi"/>
          <w:color w:val="auto"/>
          <w:sz w:val="24"/>
          <w:szCs w:val="24"/>
        </w:rPr>
        <w:t>Référence bibliographique</w:t>
      </w:r>
    </w:p>
    <w:p w:rsidR="009713D4" w:rsidRPr="009713D4" w:rsidRDefault="009713D4" w:rsidP="009713D4">
      <w:pPr>
        <w:pStyle w:val="bibliographie"/>
        <w:spacing w:before="0" w:beforeAutospacing="0" w:after="0" w:afterAutospacing="0"/>
        <w:rPr>
          <w:rFonts w:asciiTheme="majorBidi" w:hAnsiTheme="majorBidi" w:cstheme="majorBidi"/>
        </w:rPr>
      </w:pPr>
      <w:r w:rsidRPr="009713D4">
        <w:rPr>
          <w:rFonts w:asciiTheme="majorBidi" w:hAnsiTheme="majorBidi" w:cstheme="majorBidi"/>
        </w:rPr>
        <w:t xml:space="preserve">• D. LINCOT </w:t>
      </w:r>
      <w:r w:rsidRPr="009713D4">
        <w:rPr>
          <w:rStyle w:val="Accentuation"/>
          <w:rFonts w:asciiTheme="majorBidi" w:eastAsiaTheme="majorEastAsia" w:hAnsiTheme="majorBidi" w:cstheme="majorBidi"/>
        </w:rPr>
        <w:t>et al.</w:t>
      </w:r>
      <w:r w:rsidRPr="009713D4">
        <w:rPr>
          <w:rFonts w:asciiTheme="majorBidi" w:hAnsiTheme="majorBidi" w:cstheme="majorBidi"/>
        </w:rPr>
        <w:t xml:space="preserve"> – </w:t>
      </w:r>
      <w:r w:rsidRPr="009713D4">
        <w:rPr>
          <w:rStyle w:val="Accentuation"/>
          <w:rFonts w:asciiTheme="majorBidi" w:eastAsiaTheme="majorEastAsia" w:hAnsiTheme="majorBidi" w:cstheme="majorBidi"/>
        </w:rPr>
        <w:t>L’Électricité, fille du Soleil</w:t>
      </w:r>
      <w:r w:rsidRPr="009713D4">
        <w:rPr>
          <w:rFonts w:asciiTheme="majorBidi" w:hAnsiTheme="majorBidi" w:cstheme="majorBidi"/>
        </w:rPr>
        <w:t>, Dossier pour la science, n° 69, 2010.</w:t>
      </w:r>
    </w:p>
    <w:p w:rsidR="009713D4" w:rsidRPr="009713D4" w:rsidRDefault="009713D4" w:rsidP="009713D4">
      <w:pPr>
        <w:pStyle w:val="Titre2"/>
        <w:spacing w:before="0" w:beforeAutospacing="0" w:after="0" w:afterAutospacing="0"/>
        <w:rPr>
          <w:rFonts w:asciiTheme="majorBidi" w:hAnsiTheme="majorBidi" w:cstheme="majorBidi"/>
          <w:sz w:val="24"/>
          <w:szCs w:val="24"/>
        </w:rPr>
      </w:pPr>
      <w:r w:rsidRPr="009713D4">
        <w:rPr>
          <w:rFonts w:asciiTheme="majorBidi" w:hAnsiTheme="majorBidi" w:cstheme="majorBidi"/>
          <w:sz w:val="24"/>
          <w:szCs w:val="24"/>
        </w:rPr>
        <w:t>Table des illustrations</w:t>
      </w:r>
    </w:p>
    <w:tbl>
      <w:tblPr>
        <w:tblW w:w="0" w:type="auto"/>
        <w:tblCellSpacing w:w="15" w:type="dxa"/>
        <w:tblCellMar>
          <w:top w:w="15" w:type="dxa"/>
          <w:left w:w="15" w:type="dxa"/>
          <w:bottom w:w="15" w:type="dxa"/>
          <w:right w:w="15" w:type="dxa"/>
        </w:tblCellMar>
        <w:tblLook w:val="04A0"/>
      </w:tblPr>
      <w:tblGrid>
        <w:gridCol w:w="555"/>
        <w:gridCol w:w="927"/>
        <w:gridCol w:w="7680"/>
      </w:tblGrid>
      <w:tr w:rsidR="009713D4" w:rsidRPr="009713D4" w:rsidTr="009713D4">
        <w:trPr>
          <w:gridAfter w:val="2"/>
          <w:trHeight w:val="458"/>
          <w:tblCellSpacing w:w="15" w:type="dxa"/>
        </w:trPr>
        <w:tc>
          <w:tcPr>
            <w:tcW w:w="0" w:type="auto"/>
            <w:vMerge w:val="restart"/>
            <w:vAlign w:val="center"/>
            <w:hideMark/>
          </w:tcPr>
          <w:p w:rsidR="009713D4" w:rsidRPr="009713D4" w:rsidRDefault="009713D4" w:rsidP="009713D4">
            <w:pPr>
              <w:spacing w:after="0"/>
              <w:jc w:val="center"/>
              <w:rPr>
                <w:rFonts w:asciiTheme="majorBidi" w:hAnsiTheme="majorBidi" w:cstheme="majorBidi"/>
                <w:b/>
                <w:bCs/>
                <w:sz w:val="24"/>
                <w:szCs w:val="24"/>
              </w:rPr>
            </w:pPr>
          </w:p>
        </w:tc>
      </w:tr>
      <w:tr w:rsidR="009713D4" w:rsidRPr="009713D4" w:rsidTr="009713D4">
        <w:trPr>
          <w:tblCellSpacing w:w="15" w:type="dxa"/>
        </w:trPr>
        <w:tc>
          <w:tcPr>
            <w:tcW w:w="0" w:type="auto"/>
            <w:vMerge/>
            <w:vAlign w:val="center"/>
            <w:hideMark/>
          </w:tcPr>
          <w:p w:rsidR="009713D4" w:rsidRPr="009713D4" w:rsidRDefault="009713D4" w:rsidP="009713D4">
            <w:pPr>
              <w:spacing w:after="0"/>
              <w:rPr>
                <w:rFonts w:asciiTheme="majorBidi" w:hAnsiTheme="majorBidi" w:cstheme="majorBidi"/>
                <w:b/>
                <w:bCs/>
                <w:sz w:val="24"/>
                <w:szCs w:val="24"/>
              </w:rPr>
            </w:pPr>
          </w:p>
        </w:tc>
        <w:tc>
          <w:tcPr>
            <w:tcW w:w="0" w:type="auto"/>
            <w:vAlign w:val="center"/>
            <w:hideMark/>
          </w:tcPr>
          <w:p w:rsidR="009713D4" w:rsidRPr="009713D4" w:rsidRDefault="009713D4" w:rsidP="009713D4">
            <w:pPr>
              <w:spacing w:after="0"/>
              <w:jc w:val="center"/>
              <w:rPr>
                <w:rFonts w:asciiTheme="majorBidi" w:hAnsiTheme="majorBidi" w:cstheme="majorBidi"/>
                <w:b/>
                <w:bCs/>
                <w:sz w:val="24"/>
                <w:szCs w:val="24"/>
              </w:rPr>
            </w:pPr>
            <w:r w:rsidRPr="009713D4">
              <w:rPr>
                <w:rFonts w:asciiTheme="majorBidi" w:hAnsiTheme="majorBidi" w:cstheme="majorBidi"/>
                <w:b/>
                <w:bCs/>
                <w:sz w:val="24"/>
                <w:szCs w:val="24"/>
              </w:rPr>
              <w:t>Légende</w:t>
            </w:r>
          </w:p>
        </w:tc>
        <w:tc>
          <w:tcPr>
            <w:tcW w:w="0" w:type="auto"/>
            <w:vAlign w:val="center"/>
            <w:hideMark/>
          </w:tcPr>
          <w:p w:rsidR="009713D4" w:rsidRPr="009713D4" w:rsidRDefault="009713D4" w:rsidP="009713D4">
            <w:pPr>
              <w:spacing w:after="0"/>
              <w:rPr>
                <w:rFonts w:asciiTheme="majorBidi" w:hAnsiTheme="majorBidi" w:cstheme="majorBidi"/>
                <w:sz w:val="24"/>
                <w:szCs w:val="24"/>
              </w:rPr>
            </w:pPr>
            <w:r w:rsidRPr="009713D4">
              <w:rPr>
                <w:rFonts w:asciiTheme="majorBidi" w:hAnsiTheme="majorBidi" w:cstheme="majorBidi"/>
                <w:sz w:val="24"/>
                <w:szCs w:val="24"/>
              </w:rPr>
              <w:t>Fig. 1 – a) Schéma d’une cellule solaire de type Verre/Sn02 </w:t>
            </w:r>
            <w:proofErr w:type="gramStart"/>
            <w:r w:rsidRPr="009713D4">
              <w:rPr>
                <w:rFonts w:asciiTheme="majorBidi" w:hAnsiTheme="majorBidi" w:cstheme="majorBidi"/>
                <w:sz w:val="24"/>
                <w:szCs w:val="24"/>
              </w:rPr>
              <w:t>:F</w:t>
            </w:r>
            <w:proofErr w:type="gramEnd"/>
            <w:r w:rsidRPr="009713D4">
              <w:rPr>
                <w:rFonts w:asciiTheme="majorBidi" w:hAnsiTheme="majorBidi" w:cstheme="majorBidi"/>
                <w:sz w:val="24"/>
                <w:szCs w:val="24"/>
              </w:rPr>
              <w:t>/</w:t>
            </w:r>
            <w:proofErr w:type="spellStart"/>
            <w:r w:rsidRPr="009713D4">
              <w:rPr>
                <w:rFonts w:asciiTheme="majorBidi" w:hAnsiTheme="majorBidi" w:cstheme="majorBidi"/>
                <w:sz w:val="24"/>
                <w:szCs w:val="24"/>
              </w:rPr>
              <w:t>CdS</w:t>
            </w:r>
            <w:proofErr w:type="spellEnd"/>
            <w:r w:rsidRPr="009713D4">
              <w:rPr>
                <w:rFonts w:asciiTheme="majorBidi" w:hAnsiTheme="majorBidi" w:cstheme="majorBidi"/>
                <w:sz w:val="24"/>
                <w:szCs w:val="24"/>
              </w:rPr>
              <w:t>/</w:t>
            </w:r>
            <w:proofErr w:type="spellStart"/>
            <w:r w:rsidRPr="009713D4">
              <w:rPr>
                <w:rFonts w:asciiTheme="majorBidi" w:hAnsiTheme="majorBidi" w:cstheme="majorBidi"/>
                <w:sz w:val="24"/>
                <w:szCs w:val="24"/>
              </w:rPr>
              <w:t>CdTe</w:t>
            </w:r>
            <w:proofErr w:type="spellEnd"/>
            <w:r w:rsidRPr="009713D4">
              <w:rPr>
                <w:rFonts w:asciiTheme="majorBidi" w:hAnsiTheme="majorBidi" w:cstheme="majorBidi"/>
                <w:sz w:val="24"/>
                <w:szCs w:val="24"/>
              </w:rPr>
              <w:t>/contact arrière. b) Schéma d’une cellule solaire de type Verre/Mo/</w:t>
            </w:r>
            <w:proofErr w:type="gramStart"/>
            <w:r w:rsidRPr="009713D4">
              <w:rPr>
                <w:rFonts w:asciiTheme="majorBidi" w:hAnsiTheme="majorBidi" w:cstheme="majorBidi"/>
                <w:sz w:val="24"/>
                <w:szCs w:val="24"/>
              </w:rPr>
              <w:t>Cu(</w:t>
            </w:r>
            <w:proofErr w:type="gramEnd"/>
            <w:r w:rsidRPr="009713D4">
              <w:rPr>
                <w:rFonts w:asciiTheme="majorBidi" w:hAnsiTheme="majorBidi" w:cstheme="majorBidi"/>
                <w:sz w:val="24"/>
                <w:szCs w:val="24"/>
              </w:rPr>
              <w:t>In, Ga)Se2/</w:t>
            </w:r>
            <w:proofErr w:type="spellStart"/>
            <w:r w:rsidRPr="009713D4">
              <w:rPr>
                <w:rFonts w:asciiTheme="majorBidi" w:hAnsiTheme="majorBidi" w:cstheme="majorBidi"/>
                <w:sz w:val="24"/>
                <w:szCs w:val="24"/>
              </w:rPr>
              <w:t>CdS</w:t>
            </w:r>
            <w:proofErr w:type="spellEnd"/>
            <w:r w:rsidRPr="009713D4">
              <w:rPr>
                <w:rFonts w:asciiTheme="majorBidi" w:hAnsiTheme="majorBidi" w:cstheme="majorBidi"/>
                <w:sz w:val="24"/>
                <w:szCs w:val="24"/>
              </w:rPr>
              <w:t>/i-Zn0/Zn0 :Al</w:t>
            </w:r>
          </w:p>
        </w:tc>
      </w:tr>
      <w:tr w:rsidR="009713D4" w:rsidRPr="009713D4" w:rsidTr="009713D4">
        <w:trPr>
          <w:tblCellSpacing w:w="15" w:type="dxa"/>
        </w:trPr>
        <w:tc>
          <w:tcPr>
            <w:tcW w:w="0" w:type="auto"/>
            <w:vMerge/>
            <w:vAlign w:val="center"/>
            <w:hideMark/>
          </w:tcPr>
          <w:p w:rsidR="009713D4" w:rsidRPr="009713D4" w:rsidRDefault="009713D4" w:rsidP="009713D4">
            <w:pPr>
              <w:spacing w:after="0"/>
              <w:rPr>
                <w:rFonts w:asciiTheme="majorBidi" w:hAnsiTheme="majorBidi" w:cstheme="majorBidi"/>
                <w:b/>
                <w:bCs/>
                <w:sz w:val="24"/>
                <w:szCs w:val="24"/>
              </w:rPr>
            </w:pPr>
          </w:p>
        </w:tc>
        <w:tc>
          <w:tcPr>
            <w:tcW w:w="0" w:type="auto"/>
            <w:vAlign w:val="center"/>
            <w:hideMark/>
          </w:tcPr>
          <w:p w:rsidR="009713D4" w:rsidRPr="009713D4" w:rsidRDefault="009713D4" w:rsidP="009713D4">
            <w:pPr>
              <w:spacing w:after="0"/>
              <w:jc w:val="center"/>
              <w:rPr>
                <w:rFonts w:asciiTheme="majorBidi" w:hAnsiTheme="majorBidi" w:cstheme="majorBidi"/>
                <w:b/>
                <w:bCs/>
                <w:sz w:val="24"/>
                <w:szCs w:val="24"/>
              </w:rPr>
            </w:pPr>
            <w:r w:rsidRPr="009713D4">
              <w:rPr>
                <w:rFonts w:asciiTheme="majorBidi" w:hAnsiTheme="majorBidi" w:cstheme="majorBidi"/>
                <w:b/>
                <w:bCs/>
                <w:sz w:val="24"/>
                <w:szCs w:val="24"/>
              </w:rPr>
              <w:t>URL</w:t>
            </w:r>
          </w:p>
        </w:tc>
        <w:tc>
          <w:tcPr>
            <w:tcW w:w="0" w:type="auto"/>
            <w:vAlign w:val="center"/>
            <w:hideMark/>
          </w:tcPr>
          <w:p w:rsidR="009713D4" w:rsidRPr="009713D4" w:rsidRDefault="009713D4" w:rsidP="009713D4">
            <w:pPr>
              <w:spacing w:after="0"/>
              <w:rPr>
                <w:rFonts w:asciiTheme="majorBidi" w:hAnsiTheme="majorBidi" w:cstheme="majorBidi"/>
                <w:sz w:val="24"/>
                <w:szCs w:val="24"/>
              </w:rPr>
            </w:pPr>
            <w:hyperlink r:id="rId9" w:history="1">
              <w:r w:rsidRPr="009713D4">
                <w:rPr>
                  <w:rStyle w:val="Lienhypertexte"/>
                  <w:rFonts w:asciiTheme="majorBidi" w:hAnsiTheme="majorBidi" w:cstheme="majorBidi"/>
                  <w:color w:val="auto"/>
                  <w:sz w:val="24"/>
                  <w:szCs w:val="24"/>
                  <w:u w:val="none"/>
                </w:rPr>
                <w:t>http://books.openedition.org/editionscnrs/docannexe/image/11061/img-1.jpg</w:t>
              </w:r>
            </w:hyperlink>
          </w:p>
        </w:tc>
      </w:tr>
      <w:tr w:rsidR="009713D4" w:rsidRPr="009713D4" w:rsidTr="009713D4">
        <w:trPr>
          <w:tblCellSpacing w:w="15" w:type="dxa"/>
        </w:trPr>
        <w:tc>
          <w:tcPr>
            <w:tcW w:w="0" w:type="auto"/>
            <w:vMerge/>
            <w:vAlign w:val="center"/>
            <w:hideMark/>
          </w:tcPr>
          <w:p w:rsidR="009713D4" w:rsidRPr="009713D4" w:rsidRDefault="009713D4" w:rsidP="009713D4">
            <w:pPr>
              <w:spacing w:after="0"/>
              <w:rPr>
                <w:rFonts w:asciiTheme="majorBidi" w:hAnsiTheme="majorBidi" w:cstheme="majorBidi"/>
                <w:b/>
                <w:bCs/>
                <w:sz w:val="24"/>
                <w:szCs w:val="24"/>
              </w:rPr>
            </w:pPr>
          </w:p>
        </w:tc>
        <w:tc>
          <w:tcPr>
            <w:tcW w:w="0" w:type="auto"/>
            <w:vAlign w:val="center"/>
            <w:hideMark/>
          </w:tcPr>
          <w:p w:rsidR="009713D4" w:rsidRPr="009713D4" w:rsidRDefault="009713D4" w:rsidP="009713D4">
            <w:pPr>
              <w:spacing w:after="0"/>
              <w:jc w:val="center"/>
              <w:rPr>
                <w:rFonts w:asciiTheme="majorBidi" w:hAnsiTheme="majorBidi" w:cstheme="majorBidi"/>
                <w:b/>
                <w:bCs/>
                <w:sz w:val="24"/>
                <w:szCs w:val="24"/>
              </w:rPr>
            </w:pPr>
            <w:r w:rsidRPr="009713D4">
              <w:rPr>
                <w:rFonts w:asciiTheme="majorBidi" w:hAnsiTheme="majorBidi" w:cstheme="majorBidi"/>
                <w:b/>
                <w:bCs/>
                <w:sz w:val="24"/>
                <w:szCs w:val="24"/>
              </w:rPr>
              <w:t>Fichier</w:t>
            </w:r>
          </w:p>
        </w:tc>
        <w:tc>
          <w:tcPr>
            <w:tcW w:w="0" w:type="auto"/>
            <w:vAlign w:val="center"/>
            <w:hideMark/>
          </w:tcPr>
          <w:p w:rsidR="009713D4" w:rsidRPr="009713D4" w:rsidRDefault="009713D4" w:rsidP="009713D4">
            <w:pPr>
              <w:spacing w:after="0"/>
              <w:rPr>
                <w:rFonts w:asciiTheme="majorBidi" w:hAnsiTheme="majorBidi" w:cstheme="majorBidi"/>
                <w:sz w:val="24"/>
                <w:szCs w:val="24"/>
              </w:rPr>
            </w:pPr>
            <w:r w:rsidRPr="009713D4">
              <w:rPr>
                <w:rFonts w:asciiTheme="majorBidi" w:hAnsiTheme="majorBidi" w:cstheme="majorBidi"/>
                <w:sz w:val="24"/>
                <w:szCs w:val="24"/>
              </w:rPr>
              <w:t>image/</w:t>
            </w:r>
            <w:proofErr w:type="spellStart"/>
            <w:r w:rsidRPr="009713D4">
              <w:rPr>
                <w:rFonts w:asciiTheme="majorBidi" w:hAnsiTheme="majorBidi" w:cstheme="majorBidi"/>
                <w:sz w:val="24"/>
                <w:szCs w:val="24"/>
              </w:rPr>
              <w:t>jpeg</w:t>
            </w:r>
            <w:proofErr w:type="spellEnd"/>
            <w:r w:rsidRPr="009713D4">
              <w:rPr>
                <w:rFonts w:asciiTheme="majorBidi" w:hAnsiTheme="majorBidi" w:cstheme="majorBidi"/>
                <w:sz w:val="24"/>
                <w:szCs w:val="24"/>
              </w:rPr>
              <w:t>, 164k</w:t>
            </w:r>
          </w:p>
        </w:tc>
      </w:tr>
      <w:tr w:rsidR="009713D4" w:rsidRPr="009713D4" w:rsidTr="009713D4">
        <w:trPr>
          <w:tblCellSpacing w:w="15" w:type="dxa"/>
        </w:trPr>
        <w:tc>
          <w:tcPr>
            <w:tcW w:w="0" w:type="auto"/>
            <w:vMerge w:val="restart"/>
            <w:vAlign w:val="center"/>
            <w:hideMark/>
          </w:tcPr>
          <w:p w:rsidR="009713D4" w:rsidRPr="009713D4" w:rsidRDefault="009713D4" w:rsidP="009713D4">
            <w:pPr>
              <w:spacing w:after="0"/>
              <w:jc w:val="center"/>
              <w:rPr>
                <w:rFonts w:asciiTheme="majorBidi" w:hAnsiTheme="majorBidi" w:cstheme="majorBidi"/>
                <w:b/>
                <w:bCs/>
                <w:sz w:val="24"/>
                <w:szCs w:val="24"/>
              </w:rPr>
            </w:pPr>
            <w:r w:rsidRPr="009713D4">
              <w:rPr>
                <w:rFonts w:asciiTheme="majorBidi" w:hAnsiTheme="majorBidi" w:cstheme="majorBidi"/>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p>
        </w:tc>
        <w:tc>
          <w:tcPr>
            <w:tcW w:w="0" w:type="auto"/>
            <w:vAlign w:val="center"/>
            <w:hideMark/>
          </w:tcPr>
          <w:p w:rsidR="009713D4" w:rsidRPr="009713D4" w:rsidRDefault="009713D4" w:rsidP="009713D4">
            <w:pPr>
              <w:spacing w:after="0"/>
              <w:rPr>
                <w:rFonts w:asciiTheme="majorBidi" w:hAnsiTheme="majorBidi" w:cstheme="majorBidi"/>
                <w:sz w:val="24"/>
                <w:szCs w:val="24"/>
              </w:rPr>
            </w:pPr>
          </w:p>
        </w:tc>
        <w:tc>
          <w:tcPr>
            <w:tcW w:w="0" w:type="auto"/>
            <w:vAlign w:val="center"/>
            <w:hideMark/>
          </w:tcPr>
          <w:p w:rsidR="009713D4" w:rsidRPr="009713D4" w:rsidRDefault="009713D4" w:rsidP="009713D4">
            <w:pPr>
              <w:spacing w:after="0"/>
              <w:rPr>
                <w:rFonts w:asciiTheme="majorBidi" w:hAnsiTheme="majorBidi" w:cstheme="majorBidi"/>
                <w:sz w:val="24"/>
                <w:szCs w:val="24"/>
              </w:rPr>
            </w:pPr>
          </w:p>
        </w:tc>
      </w:tr>
      <w:tr w:rsidR="009713D4" w:rsidRPr="009713D4" w:rsidTr="009713D4">
        <w:trPr>
          <w:tblCellSpacing w:w="15" w:type="dxa"/>
        </w:trPr>
        <w:tc>
          <w:tcPr>
            <w:tcW w:w="0" w:type="auto"/>
            <w:vMerge/>
            <w:vAlign w:val="center"/>
            <w:hideMark/>
          </w:tcPr>
          <w:p w:rsidR="009713D4" w:rsidRPr="009713D4" w:rsidRDefault="009713D4" w:rsidP="009713D4">
            <w:pPr>
              <w:spacing w:after="0"/>
              <w:rPr>
                <w:rFonts w:asciiTheme="majorBidi" w:hAnsiTheme="majorBidi" w:cstheme="majorBidi"/>
                <w:b/>
                <w:bCs/>
                <w:sz w:val="24"/>
                <w:szCs w:val="24"/>
              </w:rPr>
            </w:pPr>
          </w:p>
        </w:tc>
        <w:tc>
          <w:tcPr>
            <w:tcW w:w="0" w:type="auto"/>
            <w:vAlign w:val="center"/>
            <w:hideMark/>
          </w:tcPr>
          <w:p w:rsidR="009713D4" w:rsidRPr="009713D4" w:rsidRDefault="009713D4" w:rsidP="009713D4">
            <w:pPr>
              <w:spacing w:after="0"/>
              <w:jc w:val="center"/>
              <w:rPr>
                <w:rFonts w:asciiTheme="majorBidi" w:hAnsiTheme="majorBidi" w:cstheme="majorBidi"/>
                <w:b/>
                <w:bCs/>
                <w:sz w:val="24"/>
                <w:szCs w:val="24"/>
              </w:rPr>
            </w:pPr>
            <w:r w:rsidRPr="009713D4">
              <w:rPr>
                <w:rFonts w:asciiTheme="majorBidi" w:hAnsiTheme="majorBidi" w:cstheme="majorBidi"/>
                <w:b/>
                <w:bCs/>
                <w:sz w:val="24"/>
                <w:szCs w:val="24"/>
              </w:rPr>
              <w:t>Légende</w:t>
            </w:r>
          </w:p>
        </w:tc>
        <w:tc>
          <w:tcPr>
            <w:tcW w:w="0" w:type="auto"/>
            <w:vAlign w:val="center"/>
            <w:hideMark/>
          </w:tcPr>
          <w:p w:rsidR="009713D4" w:rsidRPr="009713D4" w:rsidRDefault="009713D4" w:rsidP="009713D4">
            <w:pPr>
              <w:spacing w:after="0"/>
              <w:rPr>
                <w:rFonts w:asciiTheme="majorBidi" w:hAnsiTheme="majorBidi" w:cstheme="majorBidi"/>
                <w:sz w:val="24"/>
                <w:szCs w:val="24"/>
              </w:rPr>
            </w:pPr>
            <w:r w:rsidRPr="009713D4">
              <w:rPr>
                <w:rFonts w:asciiTheme="majorBidi" w:hAnsiTheme="majorBidi" w:cstheme="majorBidi"/>
                <w:sz w:val="24"/>
                <w:szCs w:val="24"/>
              </w:rPr>
              <w:t xml:space="preserve">Fig. 2 – Cellule triple jonction PIN/PIN/PIN dans laquelle chaque matériau convertit de façon optimale une tranche du spectre solaire, conduisant </w:t>
            </w:r>
            <w:proofErr w:type="gramStart"/>
            <w:r w:rsidRPr="009713D4">
              <w:rPr>
                <w:rFonts w:asciiTheme="majorBidi" w:hAnsiTheme="majorBidi" w:cstheme="majorBidi"/>
                <w:sz w:val="24"/>
                <w:szCs w:val="24"/>
              </w:rPr>
              <w:t>a</w:t>
            </w:r>
            <w:proofErr w:type="gramEnd"/>
            <w:r w:rsidRPr="009713D4">
              <w:rPr>
                <w:rFonts w:asciiTheme="majorBidi" w:hAnsiTheme="majorBidi" w:cstheme="majorBidi"/>
                <w:sz w:val="24"/>
                <w:szCs w:val="24"/>
              </w:rPr>
              <w:t xml:space="preserve"> des records de rendement de 16,3 %</w:t>
            </w:r>
          </w:p>
        </w:tc>
      </w:tr>
      <w:tr w:rsidR="009713D4" w:rsidRPr="009713D4" w:rsidTr="009713D4">
        <w:trPr>
          <w:tblCellSpacing w:w="15" w:type="dxa"/>
        </w:trPr>
        <w:tc>
          <w:tcPr>
            <w:tcW w:w="0" w:type="auto"/>
            <w:vMerge/>
            <w:vAlign w:val="center"/>
            <w:hideMark/>
          </w:tcPr>
          <w:p w:rsidR="009713D4" w:rsidRPr="009713D4" w:rsidRDefault="009713D4" w:rsidP="009713D4">
            <w:pPr>
              <w:spacing w:after="0"/>
              <w:rPr>
                <w:rFonts w:asciiTheme="majorBidi" w:hAnsiTheme="majorBidi" w:cstheme="majorBidi"/>
                <w:b/>
                <w:bCs/>
                <w:sz w:val="24"/>
                <w:szCs w:val="24"/>
              </w:rPr>
            </w:pPr>
          </w:p>
        </w:tc>
        <w:tc>
          <w:tcPr>
            <w:tcW w:w="0" w:type="auto"/>
            <w:vAlign w:val="center"/>
            <w:hideMark/>
          </w:tcPr>
          <w:p w:rsidR="009713D4" w:rsidRPr="009713D4" w:rsidRDefault="009713D4" w:rsidP="009713D4">
            <w:pPr>
              <w:spacing w:after="0"/>
              <w:jc w:val="center"/>
              <w:rPr>
                <w:rFonts w:asciiTheme="majorBidi" w:hAnsiTheme="majorBidi" w:cstheme="majorBidi"/>
                <w:b/>
                <w:bCs/>
                <w:sz w:val="24"/>
                <w:szCs w:val="24"/>
              </w:rPr>
            </w:pPr>
            <w:r w:rsidRPr="009713D4">
              <w:rPr>
                <w:rFonts w:asciiTheme="majorBidi" w:hAnsiTheme="majorBidi" w:cstheme="majorBidi"/>
                <w:b/>
                <w:bCs/>
                <w:sz w:val="24"/>
                <w:szCs w:val="24"/>
              </w:rPr>
              <w:t>URL</w:t>
            </w:r>
          </w:p>
        </w:tc>
        <w:tc>
          <w:tcPr>
            <w:tcW w:w="0" w:type="auto"/>
            <w:vAlign w:val="center"/>
            <w:hideMark/>
          </w:tcPr>
          <w:p w:rsidR="009713D4" w:rsidRPr="009713D4" w:rsidRDefault="009713D4" w:rsidP="009713D4">
            <w:pPr>
              <w:spacing w:after="0"/>
              <w:rPr>
                <w:rFonts w:asciiTheme="majorBidi" w:hAnsiTheme="majorBidi" w:cstheme="majorBidi"/>
                <w:sz w:val="24"/>
                <w:szCs w:val="24"/>
              </w:rPr>
            </w:pPr>
            <w:hyperlink r:id="rId10" w:history="1">
              <w:r w:rsidRPr="009713D4">
                <w:rPr>
                  <w:rStyle w:val="Lienhypertexte"/>
                  <w:rFonts w:asciiTheme="majorBidi" w:hAnsiTheme="majorBidi" w:cstheme="majorBidi"/>
                  <w:color w:val="auto"/>
                  <w:sz w:val="24"/>
                  <w:szCs w:val="24"/>
                  <w:u w:val="none"/>
                </w:rPr>
                <w:t>http://books.openedition.org/editionscnrs/docannexe/image/11061/img-2.jpg</w:t>
              </w:r>
            </w:hyperlink>
          </w:p>
        </w:tc>
      </w:tr>
      <w:tr w:rsidR="009713D4" w:rsidRPr="009713D4" w:rsidTr="009713D4">
        <w:trPr>
          <w:tblCellSpacing w:w="15" w:type="dxa"/>
        </w:trPr>
        <w:tc>
          <w:tcPr>
            <w:tcW w:w="0" w:type="auto"/>
            <w:vMerge/>
            <w:vAlign w:val="center"/>
            <w:hideMark/>
          </w:tcPr>
          <w:p w:rsidR="009713D4" w:rsidRPr="009713D4" w:rsidRDefault="009713D4" w:rsidP="009713D4">
            <w:pPr>
              <w:spacing w:after="0"/>
              <w:rPr>
                <w:rFonts w:asciiTheme="majorBidi" w:hAnsiTheme="majorBidi" w:cstheme="majorBidi"/>
                <w:b/>
                <w:bCs/>
                <w:sz w:val="24"/>
                <w:szCs w:val="24"/>
              </w:rPr>
            </w:pPr>
          </w:p>
        </w:tc>
        <w:tc>
          <w:tcPr>
            <w:tcW w:w="0" w:type="auto"/>
            <w:vAlign w:val="center"/>
            <w:hideMark/>
          </w:tcPr>
          <w:p w:rsidR="009713D4" w:rsidRPr="009713D4" w:rsidRDefault="009713D4" w:rsidP="009713D4">
            <w:pPr>
              <w:spacing w:after="0"/>
              <w:jc w:val="center"/>
              <w:rPr>
                <w:rFonts w:asciiTheme="majorBidi" w:hAnsiTheme="majorBidi" w:cstheme="majorBidi"/>
                <w:b/>
                <w:bCs/>
                <w:sz w:val="24"/>
                <w:szCs w:val="24"/>
              </w:rPr>
            </w:pPr>
            <w:r w:rsidRPr="009713D4">
              <w:rPr>
                <w:rFonts w:asciiTheme="majorBidi" w:hAnsiTheme="majorBidi" w:cstheme="majorBidi"/>
                <w:b/>
                <w:bCs/>
                <w:sz w:val="24"/>
                <w:szCs w:val="24"/>
              </w:rPr>
              <w:t>Fichier</w:t>
            </w:r>
          </w:p>
        </w:tc>
        <w:tc>
          <w:tcPr>
            <w:tcW w:w="0" w:type="auto"/>
            <w:vAlign w:val="center"/>
            <w:hideMark/>
          </w:tcPr>
          <w:p w:rsidR="009713D4" w:rsidRPr="009713D4" w:rsidRDefault="009713D4" w:rsidP="009713D4">
            <w:pPr>
              <w:spacing w:after="0"/>
              <w:rPr>
                <w:rFonts w:asciiTheme="majorBidi" w:hAnsiTheme="majorBidi" w:cstheme="majorBidi"/>
                <w:sz w:val="24"/>
                <w:szCs w:val="24"/>
              </w:rPr>
            </w:pPr>
            <w:r w:rsidRPr="009713D4">
              <w:rPr>
                <w:rFonts w:asciiTheme="majorBidi" w:hAnsiTheme="majorBidi" w:cstheme="majorBidi"/>
                <w:sz w:val="24"/>
                <w:szCs w:val="24"/>
              </w:rPr>
              <w:t>image/</w:t>
            </w:r>
            <w:proofErr w:type="spellStart"/>
            <w:r w:rsidRPr="009713D4">
              <w:rPr>
                <w:rFonts w:asciiTheme="majorBidi" w:hAnsiTheme="majorBidi" w:cstheme="majorBidi"/>
                <w:sz w:val="24"/>
                <w:szCs w:val="24"/>
              </w:rPr>
              <w:t>jpeg</w:t>
            </w:r>
            <w:proofErr w:type="spellEnd"/>
            <w:r w:rsidRPr="009713D4">
              <w:rPr>
                <w:rFonts w:asciiTheme="majorBidi" w:hAnsiTheme="majorBidi" w:cstheme="majorBidi"/>
                <w:sz w:val="24"/>
                <w:szCs w:val="24"/>
              </w:rPr>
              <w:t>, 65k</w:t>
            </w:r>
          </w:p>
        </w:tc>
      </w:tr>
    </w:tbl>
    <w:p w:rsidR="009713D4" w:rsidRPr="009713D4" w:rsidRDefault="009713D4" w:rsidP="009713D4">
      <w:pPr>
        <w:pStyle w:val="Titre2"/>
        <w:spacing w:before="0" w:beforeAutospacing="0" w:after="0" w:afterAutospacing="0"/>
        <w:rPr>
          <w:rFonts w:asciiTheme="majorBidi" w:hAnsiTheme="majorBidi" w:cstheme="majorBidi"/>
          <w:sz w:val="24"/>
          <w:szCs w:val="24"/>
        </w:rPr>
      </w:pPr>
      <w:r w:rsidRPr="009713D4">
        <w:rPr>
          <w:rFonts w:asciiTheme="majorBidi" w:hAnsiTheme="majorBidi" w:cstheme="majorBidi"/>
          <w:sz w:val="24"/>
          <w:szCs w:val="24"/>
        </w:rPr>
        <w:t>Auteurs</w:t>
      </w:r>
    </w:p>
    <w:p w:rsidR="009713D4" w:rsidRPr="009713D4" w:rsidRDefault="009713D4" w:rsidP="009713D4">
      <w:pPr>
        <w:spacing w:after="0"/>
        <w:rPr>
          <w:rFonts w:asciiTheme="majorBidi" w:hAnsiTheme="majorBidi" w:cstheme="majorBidi"/>
          <w:sz w:val="24"/>
          <w:szCs w:val="24"/>
        </w:rPr>
      </w:pPr>
      <w:hyperlink r:id="rId11" w:tooltip="Pere Roca i Cabarrocas" w:history="1">
        <w:proofErr w:type="spellStart"/>
        <w:r w:rsidRPr="009713D4">
          <w:rPr>
            <w:rStyle w:val="Accentuation"/>
            <w:rFonts w:asciiTheme="majorBidi" w:hAnsiTheme="majorBidi" w:cstheme="majorBidi"/>
            <w:sz w:val="24"/>
            <w:szCs w:val="24"/>
          </w:rPr>
          <w:t>Pere</w:t>
        </w:r>
        <w:proofErr w:type="spellEnd"/>
        <w:r w:rsidRPr="009713D4">
          <w:rPr>
            <w:rStyle w:val="Accentuation"/>
            <w:rFonts w:asciiTheme="majorBidi" w:hAnsiTheme="majorBidi" w:cstheme="majorBidi"/>
            <w:sz w:val="24"/>
            <w:szCs w:val="24"/>
          </w:rPr>
          <w:t xml:space="preserve"> Roca i </w:t>
        </w:r>
        <w:proofErr w:type="spellStart"/>
        <w:r w:rsidRPr="009713D4">
          <w:rPr>
            <w:rStyle w:val="Accentuation"/>
            <w:rFonts w:asciiTheme="majorBidi" w:hAnsiTheme="majorBidi" w:cstheme="majorBidi"/>
            <w:sz w:val="24"/>
            <w:szCs w:val="24"/>
          </w:rPr>
          <w:t>Cabarrocas</w:t>
        </w:r>
        <w:proofErr w:type="spellEnd"/>
      </w:hyperlink>
      <w:r w:rsidRPr="009713D4">
        <w:rPr>
          <w:rFonts w:asciiTheme="majorBidi" w:hAnsiTheme="majorBidi" w:cstheme="majorBidi"/>
          <w:sz w:val="24"/>
          <w:szCs w:val="24"/>
        </w:rPr>
        <w:t xml:space="preserve"> </w:t>
      </w:r>
    </w:p>
    <w:p w:rsidR="009713D4" w:rsidRPr="009713D4" w:rsidRDefault="009713D4" w:rsidP="009713D4">
      <w:pPr>
        <w:pStyle w:val="description"/>
        <w:spacing w:before="0" w:beforeAutospacing="0" w:after="0" w:afterAutospacing="0"/>
        <w:rPr>
          <w:rFonts w:asciiTheme="majorBidi" w:hAnsiTheme="majorBidi" w:cstheme="majorBidi"/>
        </w:rPr>
      </w:pPr>
      <w:r w:rsidRPr="009713D4">
        <w:rPr>
          <w:rFonts w:asciiTheme="majorBidi" w:hAnsiTheme="majorBidi" w:cstheme="majorBidi"/>
        </w:rPr>
        <w:t>Physico-chimiste des plasmas et matériaux, Directeur de Recherche au CNRS, Professeur à l’École Polytechnique, LPICM, Palaiseau.</w:t>
      </w:r>
      <w:r w:rsidRPr="009713D4">
        <w:rPr>
          <w:rFonts w:asciiTheme="majorBidi" w:hAnsiTheme="majorBidi" w:cstheme="majorBidi"/>
        </w:rPr>
        <w:br/>
      </w:r>
      <w:r w:rsidRPr="009713D4">
        <w:rPr>
          <w:rStyle w:val="Accentuation"/>
          <w:rFonts w:asciiTheme="majorBidi" w:eastAsiaTheme="majorEastAsia" w:hAnsiTheme="majorBidi" w:cstheme="majorBidi"/>
        </w:rPr>
        <w:t>pere.roca@polytechnique.edu</w:t>
      </w:r>
    </w:p>
    <w:p w:rsidR="009713D4" w:rsidRPr="009713D4" w:rsidRDefault="009713D4" w:rsidP="009713D4">
      <w:pPr>
        <w:spacing w:after="0"/>
        <w:rPr>
          <w:rFonts w:asciiTheme="majorBidi" w:hAnsiTheme="majorBidi" w:cstheme="majorBidi"/>
          <w:sz w:val="24"/>
          <w:szCs w:val="24"/>
        </w:rPr>
      </w:pPr>
      <w:hyperlink r:id="rId12" w:tooltip="Negar Naghavi" w:history="1">
        <w:proofErr w:type="spellStart"/>
        <w:r w:rsidRPr="009713D4">
          <w:rPr>
            <w:rStyle w:val="Accentuation"/>
            <w:rFonts w:asciiTheme="majorBidi" w:hAnsiTheme="majorBidi" w:cstheme="majorBidi"/>
            <w:sz w:val="24"/>
            <w:szCs w:val="24"/>
          </w:rPr>
          <w:t>Negar</w:t>
        </w:r>
        <w:proofErr w:type="spellEnd"/>
        <w:r w:rsidRPr="009713D4">
          <w:rPr>
            <w:rStyle w:val="Accentuation"/>
            <w:rFonts w:asciiTheme="majorBidi" w:hAnsiTheme="majorBidi" w:cstheme="majorBidi"/>
            <w:sz w:val="24"/>
            <w:szCs w:val="24"/>
          </w:rPr>
          <w:t xml:space="preserve"> </w:t>
        </w:r>
        <w:proofErr w:type="spellStart"/>
        <w:r w:rsidRPr="009713D4">
          <w:rPr>
            <w:rStyle w:val="Accentuation"/>
            <w:rFonts w:asciiTheme="majorBidi" w:hAnsiTheme="majorBidi" w:cstheme="majorBidi"/>
            <w:sz w:val="24"/>
            <w:szCs w:val="24"/>
          </w:rPr>
          <w:t>Naghavi</w:t>
        </w:r>
        <w:proofErr w:type="spellEnd"/>
      </w:hyperlink>
      <w:r w:rsidRPr="009713D4">
        <w:rPr>
          <w:rFonts w:asciiTheme="majorBidi" w:hAnsiTheme="majorBidi" w:cstheme="majorBidi"/>
          <w:sz w:val="24"/>
          <w:szCs w:val="24"/>
        </w:rPr>
        <w:t xml:space="preserve"> </w:t>
      </w:r>
    </w:p>
    <w:p w:rsidR="009713D4" w:rsidRPr="009713D4" w:rsidRDefault="009713D4" w:rsidP="009713D4">
      <w:pPr>
        <w:pStyle w:val="description"/>
        <w:spacing w:before="0" w:beforeAutospacing="0" w:after="0" w:afterAutospacing="0"/>
        <w:rPr>
          <w:rFonts w:asciiTheme="majorBidi" w:hAnsiTheme="majorBidi" w:cstheme="majorBidi"/>
        </w:rPr>
      </w:pPr>
      <w:r w:rsidRPr="009713D4">
        <w:rPr>
          <w:rFonts w:asciiTheme="majorBidi" w:hAnsiTheme="majorBidi" w:cstheme="majorBidi"/>
        </w:rPr>
        <w:t>Chimiste, Chargé de Recherche au CNRS, IRDEP, Chatou.</w:t>
      </w:r>
      <w:r w:rsidRPr="009713D4">
        <w:rPr>
          <w:rFonts w:asciiTheme="majorBidi" w:hAnsiTheme="majorBidi" w:cstheme="majorBidi"/>
        </w:rPr>
        <w:br/>
      </w:r>
      <w:r w:rsidRPr="009713D4">
        <w:rPr>
          <w:rStyle w:val="Accentuation"/>
          <w:rFonts w:asciiTheme="majorBidi" w:eastAsiaTheme="majorEastAsia" w:hAnsiTheme="majorBidi" w:cstheme="majorBidi"/>
        </w:rPr>
        <w:t>negar-naghavi@chimie-paristech.fr</w:t>
      </w:r>
    </w:p>
    <w:p w:rsidR="009713D4" w:rsidRPr="009713D4" w:rsidRDefault="009713D4" w:rsidP="009713D4">
      <w:pPr>
        <w:pStyle w:val="NormalWeb"/>
        <w:spacing w:before="0" w:beforeAutospacing="0" w:after="0" w:afterAutospacing="0"/>
        <w:rPr>
          <w:rFonts w:asciiTheme="majorBidi" w:hAnsiTheme="majorBidi" w:cstheme="majorBidi"/>
        </w:rPr>
      </w:pPr>
      <w:r w:rsidRPr="009713D4">
        <w:rPr>
          <w:rFonts w:asciiTheme="majorBidi" w:hAnsiTheme="majorBidi" w:cstheme="majorBidi"/>
        </w:rPr>
        <w:t>© CNRS Éditions, 2013</w:t>
      </w:r>
    </w:p>
    <w:p w:rsidR="009713D4" w:rsidRPr="009713D4" w:rsidRDefault="009713D4" w:rsidP="009713D4">
      <w:pPr>
        <w:pStyle w:val="NormalWeb"/>
        <w:spacing w:before="0" w:beforeAutospacing="0" w:after="0" w:afterAutospacing="0"/>
        <w:rPr>
          <w:rFonts w:asciiTheme="majorBidi" w:hAnsiTheme="majorBidi" w:cstheme="majorBidi"/>
        </w:rPr>
      </w:pPr>
      <w:r w:rsidRPr="009713D4">
        <w:rPr>
          <w:rFonts w:asciiTheme="majorBidi" w:hAnsiTheme="majorBidi" w:cstheme="majorBidi"/>
        </w:rPr>
        <w:t xml:space="preserve">Conditions d’utilisation : </w:t>
      </w:r>
      <w:hyperlink r:id="rId13" w:history="1">
        <w:r w:rsidRPr="009713D4">
          <w:rPr>
            <w:rStyle w:val="Lienhypertexte"/>
            <w:rFonts w:asciiTheme="majorBidi" w:hAnsiTheme="majorBidi" w:cstheme="majorBidi"/>
            <w:color w:val="auto"/>
            <w:u w:val="none"/>
          </w:rPr>
          <w:t>http://www.openedition.org/6540</w:t>
        </w:r>
      </w:hyperlink>
    </w:p>
    <w:p w:rsidR="00A00E19" w:rsidRPr="009713D4" w:rsidRDefault="00A00E19" w:rsidP="009713D4">
      <w:pPr>
        <w:rPr>
          <w:rFonts w:asciiTheme="majorBidi" w:hAnsiTheme="majorBidi" w:cstheme="majorBidi"/>
          <w:sz w:val="28"/>
          <w:szCs w:val="28"/>
        </w:rPr>
      </w:pPr>
    </w:p>
    <w:sectPr w:rsidR="00A00E19" w:rsidRPr="009713D4" w:rsidSect="004E55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57A87"/>
    <w:rsid w:val="004E55F3"/>
    <w:rsid w:val="005B5FE5"/>
    <w:rsid w:val="009713D4"/>
    <w:rsid w:val="00A00E19"/>
    <w:rsid w:val="00F57A8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5F3"/>
  </w:style>
  <w:style w:type="paragraph" w:styleId="Titre1">
    <w:name w:val="heading 1"/>
    <w:basedOn w:val="Normal"/>
    <w:next w:val="Normal"/>
    <w:link w:val="Titre1Car"/>
    <w:uiPriority w:val="9"/>
    <w:qFormat/>
    <w:rsid w:val="00F57A8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link w:val="Titre2Car"/>
    <w:uiPriority w:val="9"/>
    <w:qFormat/>
    <w:rsid w:val="00F57A8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57A87"/>
    <w:rPr>
      <w:rFonts w:ascii="Times New Roman" w:eastAsia="Times New Roman" w:hAnsi="Times New Roman" w:cs="Times New Roman"/>
      <w:b/>
      <w:bCs/>
      <w:sz w:val="36"/>
      <w:szCs w:val="36"/>
      <w:lang w:eastAsia="fr-FR"/>
    </w:rPr>
  </w:style>
  <w:style w:type="paragraph" w:customStyle="1" w:styleId="texte">
    <w:name w:val="texte"/>
    <w:basedOn w:val="Normal"/>
    <w:rsid w:val="00F57A8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number">
    <w:name w:val="paranumber"/>
    <w:basedOn w:val="Policepardfaut"/>
    <w:rsid w:val="00F57A87"/>
  </w:style>
  <w:style w:type="character" w:customStyle="1" w:styleId="Titre1Car">
    <w:name w:val="Titre 1 Car"/>
    <w:basedOn w:val="Policepardfaut"/>
    <w:link w:val="Titre1"/>
    <w:uiPriority w:val="9"/>
    <w:rsid w:val="00F57A87"/>
    <w:rPr>
      <w:rFonts w:asciiTheme="majorHAnsi" w:eastAsiaTheme="majorEastAsia" w:hAnsiTheme="majorHAnsi" w:cstheme="majorBidi"/>
      <w:b/>
      <w:bCs/>
      <w:color w:val="2E74B5" w:themeColor="accent1" w:themeShade="BF"/>
      <w:sz w:val="28"/>
      <w:szCs w:val="28"/>
    </w:rPr>
  </w:style>
  <w:style w:type="character" w:styleId="Lienhypertexte">
    <w:name w:val="Hyperlink"/>
    <w:basedOn w:val="Policepardfaut"/>
    <w:uiPriority w:val="99"/>
    <w:semiHidden/>
    <w:unhideWhenUsed/>
    <w:rsid w:val="00F57A87"/>
    <w:rPr>
      <w:color w:val="0000FF"/>
      <w:u w:val="single"/>
    </w:rPr>
  </w:style>
  <w:style w:type="character" w:styleId="Accentuation">
    <w:name w:val="Emphasis"/>
    <w:basedOn w:val="Policepardfaut"/>
    <w:uiPriority w:val="20"/>
    <w:qFormat/>
    <w:rsid w:val="00F57A87"/>
    <w:rPr>
      <w:i/>
      <w:iCs/>
    </w:rPr>
  </w:style>
  <w:style w:type="paragraph" w:styleId="Textedebulles">
    <w:name w:val="Balloon Text"/>
    <w:basedOn w:val="Normal"/>
    <w:link w:val="TextedebullesCar"/>
    <w:uiPriority w:val="99"/>
    <w:semiHidden/>
    <w:unhideWhenUsed/>
    <w:rsid w:val="00F57A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7A87"/>
    <w:rPr>
      <w:rFonts w:ascii="Tahoma" w:hAnsi="Tahoma" w:cs="Tahoma"/>
      <w:sz w:val="16"/>
      <w:szCs w:val="16"/>
    </w:rPr>
  </w:style>
  <w:style w:type="paragraph" w:customStyle="1" w:styleId="bibliographie">
    <w:name w:val="bibliographie"/>
    <w:basedOn w:val="Normal"/>
    <w:rsid w:val="009713D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scription">
    <w:name w:val="description"/>
    <w:basedOn w:val="Normal"/>
    <w:rsid w:val="009713D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9713D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2346851">
      <w:bodyDiv w:val="1"/>
      <w:marLeft w:val="0"/>
      <w:marRight w:val="0"/>
      <w:marTop w:val="0"/>
      <w:marBottom w:val="0"/>
      <w:divBdr>
        <w:top w:val="none" w:sz="0" w:space="0" w:color="auto"/>
        <w:left w:val="none" w:sz="0" w:space="0" w:color="auto"/>
        <w:bottom w:val="none" w:sz="0" w:space="0" w:color="auto"/>
        <w:right w:val="none" w:sz="0" w:space="0" w:color="auto"/>
      </w:divBdr>
      <w:divsChild>
        <w:div w:id="727609562">
          <w:marLeft w:val="0"/>
          <w:marRight w:val="0"/>
          <w:marTop w:val="0"/>
          <w:marBottom w:val="0"/>
          <w:divBdr>
            <w:top w:val="none" w:sz="0" w:space="0" w:color="auto"/>
            <w:left w:val="none" w:sz="0" w:space="0" w:color="auto"/>
            <w:bottom w:val="none" w:sz="0" w:space="0" w:color="auto"/>
            <w:right w:val="none" w:sz="0" w:space="0" w:color="auto"/>
          </w:divBdr>
        </w:div>
      </w:divsChild>
    </w:div>
    <w:div w:id="12610924">
      <w:bodyDiv w:val="1"/>
      <w:marLeft w:val="0"/>
      <w:marRight w:val="0"/>
      <w:marTop w:val="0"/>
      <w:marBottom w:val="0"/>
      <w:divBdr>
        <w:top w:val="none" w:sz="0" w:space="0" w:color="auto"/>
        <w:left w:val="none" w:sz="0" w:space="0" w:color="auto"/>
        <w:bottom w:val="none" w:sz="0" w:space="0" w:color="auto"/>
        <w:right w:val="none" w:sz="0" w:space="0" w:color="auto"/>
      </w:divBdr>
    </w:div>
    <w:div w:id="594750230">
      <w:bodyDiv w:val="1"/>
      <w:marLeft w:val="0"/>
      <w:marRight w:val="0"/>
      <w:marTop w:val="0"/>
      <w:marBottom w:val="0"/>
      <w:divBdr>
        <w:top w:val="none" w:sz="0" w:space="0" w:color="auto"/>
        <w:left w:val="none" w:sz="0" w:space="0" w:color="auto"/>
        <w:bottom w:val="none" w:sz="0" w:space="0" w:color="auto"/>
        <w:right w:val="none" w:sz="0" w:space="0" w:color="auto"/>
      </w:divBdr>
    </w:div>
    <w:div w:id="1209100824">
      <w:bodyDiv w:val="1"/>
      <w:marLeft w:val="0"/>
      <w:marRight w:val="0"/>
      <w:marTop w:val="0"/>
      <w:marBottom w:val="0"/>
      <w:divBdr>
        <w:top w:val="none" w:sz="0" w:space="0" w:color="auto"/>
        <w:left w:val="none" w:sz="0" w:space="0" w:color="auto"/>
        <w:bottom w:val="none" w:sz="0" w:space="0" w:color="auto"/>
        <w:right w:val="none" w:sz="0" w:space="0" w:color="auto"/>
      </w:divBdr>
      <w:divsChild>
        <w:div w:id="1891918088">
          <w:marLeft w:val="0"/>
          <w:marRight w:val="0"/>
          <w:marTop w:val="0"/>
          <w:marBottom w:val="0"/>
          <w:divBdr>
            <w:top w:val="none" w:sz="0" w:space="0" w:color="auto"/>
            <w:left w:val="none" w:sz="0" w:space="0" w:color="auto"/>
            <w:bottom w:val="none" w:sz="0" w:space="0" w:color="auto"/>
            <w:right w:val="none" w:sz="0" w:space="0" w:color="auto"/>
          </w:divBdr>
          <w:divsChild>
            <w:div w:id="1090469768">
              <w:marLeft w:val="0"/>
              <w:marRight w:val="0"/>
              <w:marTop w:val="0"/>
              <w:marBottom w:val="0"/>
              <w:divBdr>
                <w:top w:val="none" w:sz="0" w:space="0" w:color="auto"/>
                <w:left w:val="none" w:sz="0" w:space="0" w:color="auto"/>
                <w:bottom w:val="none" w:sz="0" w:space="0" w:color="auto"/>
                <w:right w:val="none" w:sz="0" w:space="0" w:color="auto"/>
              </w:divBdr>
            </w:div>
          </w:divsChild>
        </w:div>
        <w:div w:id="353121435">
          <w:marLeft w:val="0"/>
          <w:marRight w:val="0"/>
          <w:marTop w:val="0"/>
          <w:marBottom w:val="0"/>
          <w:divBdr>
            <w:top w:val="none" w:sz="0" w:space="0" w:color="auto"/>
            <w:left w:val="none" w:sz="0" w:space="0" w:color="auto"/>
            <w:bottom w:val="none" w:sz="0" w:space="0" w:color="auto"/>
            <w:right w:val="none" w:sz="0" w:space="0" w:color="auto"/>
          </w:divBdr>
        </w:div>
        <w:div w:id="1513454820">
          <w:marLeft w:val="0"/>
          <w:marRight w:val="0"/>
          <w:marTop w:val="0"/>
          <w:marBottom w:val="0"/>
          <w:divBdr>
            <w:top w:val="none" w:sz="0" w:space="0" w:color="auto"/>
            <w:left w:val="none" w:sz="0" w:space="0" w:color="auto"/>
            <w:bottom w:val="none" w:sz="0" w:space="0" w:color="auto"/>
            <w:right w:val="none" w:sz="0" w:space="0" w:color="auto"/>
          </w:divBdr>
          <w:divsChild>
            <w:div w:id="982392961">
              <w:marLeft w:val="0"/>
              <w:marRight w:val="0"/>
              <w:marTop w:val="0"/>
              <w:marBottom w:val="0"/>
              <w:divBdr>
                <w:top w:val="none" w:sz="0" w:space="0" w:color="auto"/>
                <w:left w:val="none" w:sz="0" w:space="0" w:color="auto"/>
                <w:bottom w:val="none" w:sz="0" w:space="0" w:color="auto"/>
                <w:right w:val="none" w:sz="0" w:space="0" w:color="auto"/>
              </w:divBdr>
              <w:divsChild>
                <w:div w:id="884177366">
                  <w:marLeft w:val="0"/>
                  <w:marRight w:val="0"/>
                  <w:marTop w:val="0"/>
                  <w:marBottom w:val="0"/>
                  <w:divBdr>
                    <w:top w:val="none" w:sz="0" w:space="0" w:color="auto"/>
                    <w:left w:val="none" w:sz="0" w:space="0" w:color="auto"/>
                    <w:bottom w:val="none" w:sz="0" w:space="0" w:color="auto"/>
                    <w:right w:val="none" w:sz="0" w:space="0" w:color="auto"/>
                  </w:divBdr>
                </w:div>
                <w:div w:id="686951623">
                  <w:marLeft w:val="0"/>
                  <w:marRight w:val="0"/>
                  <w:marTop w:val="0"/>
                  <w:marBottom w:val="0"/>
                  <w:divBdr>
                    <w:top w:val="none" w:sz="0" w:space="0" w:color="auto"/>
                    <w:left w:val="none" w:sz="0" w:space="0" w:color="auto"/>
                    <w:bottom w:val="none" w:sz="0" w:space="0" w:color="auto"/>
                    <w:right w:val="none" w:sz="0" w:space="0" w:color="auto"/>
                  </w:divBdr>
                </w:div>
              </w:divsChild>
            </w:div>
            <w:div w:id="860124137">
              <w:marLeft w:val="0"/>
              <w:marRight w:val="0"/>
              <w:marTop w:val="0"/>
              <w:marBottom w:val="0"/>
              <w:divBdr>
                <w:top w:val="none" w:sz="0" w:space="0" w:color="auto"/>
                <w:left w:val="none" w:sz="0" w:space="0" w:color="auto"/>
                <w:bottom w:val="none" w:sz="0" w:space="0" w:color="auto"/>
                <w:right w:val="none" w:sz="0" w:space="0" w:color="auto"/>
              </w:divBdr>
              <w:divsChild>
                <w:div w:id="2017069703">
                  <w:marLeft w:val="0"/>
                  <w:marRight w:val="0"/>
                  <w:marTop w:val="0"/>
                  <w:marBottom w:val="0"/>
                  <w:divBdr>
                    <w:top w:val="none" w:sz="0" w:space="0" w:color="auto"/>
                    <w:left w:val="none" w:sz="0" w:space="0" w:color="auto"/>
                    <w:bottom w:val="none" w:sz="0" w:space="0" w:color="auto"/>
                    <w:right w:val="none" w:sz="0" w:space="0" w:color="auto"/>
                  </w:divBdr>
                </w:div>
                <w:div w:id="14971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7488">
          <w:marLeft w:val="0"/>
          <w:marRight w:val="0"/>
          <w:marTop w:val="0"/>
          <w:marBottom w:val="0"/>
          <w:divBdr>
            <w:top w:val="none" w:sz="0" w:space="0" w:color="auto"/>
            <w:left w:val="none" w:sz="0" w:space="0" w:color="auto"/>
            <w:bottom w:val="none" w:sz="0" w:space="0" w:color="auto"/>
            <w:right w:val="none" w:sz="0" w:space="0" w:color="auto"/>
          </w:divBdr>
        </w:div>
      </w:divsChild>
    </w:div>
    <w:div w:id="20284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openedition.org/6540" TargetMode="External"/><Relationship Id="rId3" Type="http://schemas.openxmlformats.org/officeDocument/2006/relationships/webSettings" Target="webSettings.xml"/><Relationship Id="rId7" Type="http://schemas.openxmlformats.org/officeDocument/2006/relationships/hyperlink" Target="https://books.openedition.org/editionscnrs/11061?lang=fr" TargetMode="External"/><Relationship Id="rId12" Type="http://schemas.openxmlformats.org/officeDocument/2006/relationships/hyperlink" Target="https://books.openedition.org/author?name=naghavi+neg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oks.openedition.org/editionscnrs/11061?lang=fr" TargetMode="External"/><Relationship Id="rId11" Type="http://schemas.openxmlformats.org/officeDocument/2006/relationships/hyperlink" Target="https://books.openedition.org/author?name=cabarrocas+pere+roca+i"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books.openedition.org/editionscnrs/docannexe/image/11061/img-2.jpg" TargetMode="External"/><Relationship Id="rId4" Type="http://schemas.openxmlformats.org/officeDocument/2006/relationships/hyperlink" Target="https://books.openedition.org/editionscnrs/11061?lang=fr" TargetMode="External"/><Relationship Id="rId9" Type="http://schemas.openxmlformats.org/officeDocument/2006/relationships/hyperlink" Target="https://books.openedition.org/editionscnrs/docannexe/image/11061/img-1.jp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1461</Words>
  <Characters>8039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2</cp:revision>
  <dcterms:created xsi:type="dcterms:W3CDTF">2022-11-06T05:48:00Z</dcterms:created>
  <dcterms:modified xsi:type="dcterms:W3CDTF">2022-11-06T06:11:00Z</dcterms:modified>
</cp:coreProperties>
</file>