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A01" w:rsidRDefault="002A60D9" w:rsidP="002A60D9">
      <w:pPr>
        <w:bidi/>
        <w:spacing w:after="0" w:line="240" w:lineRule="auto"/>
        <w:ind w:firstLine="709"/>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المحاضرة الثانية</w:t>
      </w:r>
    </w:p>
    <w:p w:rsidR="002A60D9" w:rsidRDefault="002A60D9" w:rsidP="002A60D9">
      <w:pPr>
        <w:bidi/>
        <w:spacing w:after="0" w:line="240" w:lineRule="auto"/>
        <w:ind w:firstLine="709"/>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جمع المعلومات وإعداد البطاقات</w:t>
      </w:r>
    </w:p>
    <w:p w:rsidR="002A60D9" w:rsidRDefault="002A60D9" w:rsidP="002A60D9">
      <w:pPr>
        <w:bidi/>
        <w:spacing w:after="0" w:line="240" w:lineRule="auto"/>
        <w:ind w:firstLine="709"/>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"إذا ضاعت الأصول ضاع التاريخ معها"</w:t>
      </w:r>
    </w:p>
    <w:p w:rsidR="002A60D9" w:rsidRDefault="002A60D9" w:rsidP="002A60D9">
      <w:pPr>
        <w:bidi/>
        <w:spacing w:after="0" w:line="240" w:lineRule="auto"/>
        <w:ind w:firstLine="709"/>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                                        -أسد رستم-</w:t>
      </w:r>
    </w:p>
    <w:p w:rsidR="002A60D9" w:rsidRDefault="002A60D9" w:rsidP="002A60D9">
      <w:pPr>
        <w:bidi/>
        <w:spacing w:after="0" w:line="240" w:lineRule="auto"/>
        <w:ind w:firstLine="709"/>
        <w:jc w:val="center"/>
        <w:rPr>
          <w:rFonts w:ascii="Simplified Arabic" w:hAnsi="Simplified Arabic" w:cs="Simplified Arabic" w:hint="cs"/>
          <w:b/>
          <w:bCs/>
          <w:sz w:val="28"/>
          <w:szCs w:val="28"/>
          <w:rtl/>
          <w:lang w:bidi="ar-DZ"/>
        </w:rPr>
      </w:pPr>
    </w:p>
    <w:p w:rsidR="002A60D9" w:rsidRDefault="002A60D9" w:rsidP="002A60D9">
      <w:pPr>
        <w:bidi/>
        <w:spacing w:after="0" w:line="240" w:lineRule="auto"/>
        <w:ind w:firstLine="709"/>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أولا: جمع المادة الخبرية و</w:t>
      </w:r>
      <w:bookmarkStart w:id="0" w:name="_GoBack"/>
      <w:bookmarkEnd w:id="0"/>
      <w:r>
        <w:rPr>
          <w:rFonts w:ascii="Simplified Arabic" w:hAnsi="Simplified Arabic" w:cs="Simplified Arabic" w:hint="cs"/>
          <w:b/>
          <w:bCs/>
          <w:sz w:val="28"/>
          <w:szCs w:val="28"/>
          <w:rtl/>
          <w:lang w:bidi="ar-DZ"/>
        </w:rPr>
        <w:t>التعرف على المصادر:</w:t>
      </w:r>
    </w:p>
    <w:p w:rsidR="002A60D9" w:rsidRDefault="002A60D9" w:rsidP="002A60D9">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تدخل ضمن المصادر كل المعلومات والحقائق التي تتصل بأي موضوع يخضع للدراسة والبحث. وتكون مادة البحث متنوعة إما من مصادر أو من مراجع، ويعد توفرها شرط أساسي لنجاح البحث، إذ أن المادة الخبرية هي التي تحدد خطة البحث وتوجه الباحث وتتحكم في بحثه</w:t>
      </w:r>
    </w:p>
    <w:p w:rsidR="002A60D9" w:rsidRDefault="002A60D9" w:rsidP="002A60D9">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ويتم التعرف الأولي على مادة البحث بالرجوع إلى المراجع العامة، مثل دوائر المعارف وقوائم المراجع (البيبليوغرافيات) والمدونات العامة، والدوريات </w:t>
      </w:r>
      <w:r w:rsidR="00880F6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لعلمية التي تصدرها </w:t>
      </w:r>
      <w:r w:rsidR="001B6C6F">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لهيئات العلمية المختصة، وكذلك بالرجوع إلى الكتب العامة والدراسات الحديثة التي لها صلة بموضوع البحث. </w:t>
      </w:r>
    </w:p>
    <w:p w:rsidR="001B6C6F" w:rsidRDefault="001B6C6F" w:rsidP="001B6C6F">
      <w:pPr>
        <w:bidi/>
        <w:spacing w:after="0" w:line="240" w:lineRule="auto"/>
        <w:ind w:firstLine="709"/>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ثانيا: أنواع المصادر والمراجع:</w:t>
      </w:r>
    </w:p>
    <w:p w:rsidR="001B6C6F" w:rsidRDefault="001B6C6F" w:rsidP="001B6C6F">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1-الآثار المادية: </w:t>
      </w:r>
      <w:r>
        <w:rPr>
          <w:rFonts w:ascii="Simplified Arabic" w:hAnsi="Simplified Arabic" w:cs="Simplified Arabic" w:hint="cs"/>
          <w:sz w:val="28"/>
          <w:szCs w:val="28"/>
          <w:rtl/>
          <w:lang w:bidi="ar-DZ"/>
        </w:rPr>
        <w:t>أي البقايا الأثرية والجيولوجية، وهي الماضي الحي المشاهد، وتشمل جميع المخلفات المادية التي تعود إلى ماضي قريب أو بعيد، وتمثل شواهد ـأصلية للنشاط الانساني، كما تعتبر أصدق المصادر الوثائقية وأقربها من الحقيقة، لأنه</w:t>
      </w:r>
      <w:r w:rsidR="00880F6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تعكس الواقع المجرد عن ميول الباحث، ومنها:</w:t>
      </w:r>
    </w:p>
    <w:p w:rsidR="001B6C6F" w:rsidRDefault="001B6C6F" w:rsidP="001B6C6F">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-الفنون والعمارة: </w:t>
      </w:r>
      <w:r>
        <w:rPr>
          <w:rFonts w:ascii="Simplified Arabic" w:hAnsi="Simplified Arabic" w:cs="Simplified Arabic" w:hint="cs"/>
          <w:sz w:val="28"/>
          <w:szCs w:val="28"/>
          <w:rtl/>
          <w:lang w:bidi="ar-DZ"/>
        </w:rPr>
        <w:t xml:space="preserve"> مثل المساجد ، القلاع، الحصون والقصور والمعابد</w:t>
      </w:r>
    </w:p>
    <w:p w:rsidR="001B6C6F" w:rsidRDefault="001B6C6F" w:rsidP="001B6C6F">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-النقوش: </w:t>
      </w:r>
      <w:r w:rsidR="00A75125">
        <w:rPr>
          <w:rFonts w:ascii="Simplified Arabic" w:hAnsi="Simplified Arabic" w:cs="Simplified Arabic" w:hint="cs"/>
          <w:sz w:val="28"/>
          <w:szCs w:val="28"/>
          <w:rtl/>
          <w:lang w:bidi="ar-DZ"/>
        </w:rPr>
        <w:t xml:space="preserve">، </w:t>
      </w:r>
      <w:r w:rsidR="001C4F89">
        <w:rPr>
          <w:rFonts w:ascii="Simplified Arabic" w:hAnsi="Simplified Arabic" w:cs="Simplified Arabic" w:hint="cs"/>
          <w:sz w:val="28"/>
          <w:szCs w:val="28"/>
          <w:rtl/>
          <w:lang w:bidi="ar-DZ"/>
        </w:rPr>
        <w:t>أ</w:t>
      </w:r>
      <w:r w:rsidR="00A75125">
        <w:rPr>
          <w:rFonts w:ascii="Simplified Arabic" w:hAnsi="Simplified Arabic" w:cs="Simplified Arabic" w:hint="cs"/>
          <w:sz w:val="28"/>
          <w:szCs w:val="28"/>
          <w:rtl/>
          <w:lang w:bidi="ar-DZ"/>
        </w:rPr>
        <w:t>ي صور حروف الكلمات</w:t>
      </w:r>
      <w:r w:rsidR="001C4F89">
        <w:rPr>
          <w:rFonts w:ascii="Simplified Arabic" w:hAnsi="Simplified Arabic" w:cs="Simplified Arabic" w:hint="cs"/>
          <w:sz w:val="28"/>
          <w:szCs w:val="28"/>
          <w:rtl/>
          <w:lang w:bidi="ar-DZ"/>
        </w:rPr>
        <w:t xml:space="preserve"> وأوضاعها وكيفية تركيبها، وتوجد عادة على الأحجار والقبور ولوحات البرونز، وجدران المعابد وأعمدة الرخام والمقابر وقطع الخشب والزجاج والخزف والمعادن.</w:t>
      </w:r>
    </w:p>
    <w:p w:rsidR="001C4F89" w:rsidRDefault="001C4F89" w:rsidP="001C4F89">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-المسكوكات: </w:t>
      </w:r>
      <w:r w:rsidRPr="001C4F89">
        <w:rPr>
          <w:rFonts w:ascii="Simplified Arabic" w:hAnsi="Simplified Arabic" w:cs="Simplified Arabic" w:hint="cs"/>
          <w:sz w:val="28"/>
          <w:szCs w:val="28"/>
          <w:rtl/>
          <w:lang w:bidi="ar-DZ"/>
        </w:rPr>
        <w:t>وهي</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تتم</w:t>
      </w:r>
      <w:r w:rsidRPr="001C4F89">
        <w:rPr>
          <w:rFonts w:ascii="Simplified Arabic" w:hAnsi="Simplified Arabic" w:cs="Simplified Arabic" w:hint="cs"/>
          <w:sz w:val="28"/>
          <w:szCs w:val="28"/>
          <w:rtl/>
          <w:lang w:bidi="ar-DZ"/>
        </w:rPr>
        <w:t>ثل</w:t>
      </w:r>
      <w:r>
        <w:rPr>
          <w:rFonts w:ascii="Simplified Arabic" w:hAnsi="Simplified Arabic" w:cs="Simplified Arabic" w:hint="cs"/>
          <w:sz w:val="28"/>
          <w:szCs w:val="28"/>
          <w:rtl/>
          <w:lang w:bidi="ar-DZ"/>
        </w:rPr>
        <w:t xml:space="preserve"> في العملات الرسمية للدول، وتساعد على ضبط التواريخ والأسماء، وتلقي الضوء على التطور السياسي.</w:t>
      </w:r>
    </w:p>
    <w:p w:rsidR="001C4F89" w:rsidRDefault="001C4F89" w:rsidP="001C4F89">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2- الآثار المكتوبة (المصادر الأدبية): </w:t>
      </w:r>
      <w:r>
        <w:rPr>
          <w:rFonts w:ascii="Simplified Arabic" w:hAnsi="Simplified Arabic" w:cs="Simplified Arabic" w:hint="cs"/>
          <w:sz w:val="28"/>
          <w:szCs w:val="28"/>
          <w:rtl/>
          <w:lang w:bidi="ar-DZ"/>
        </w:rPr>
        <w:t>وأهمها:</w:t>
      </w:r>
    </w:p>
    <w:p w:rsidR="001C4F89" w:rsidRDefault="00E46686" w:rsidP="001C4F89">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أ</w:t>
      </w:r>
      <w:r w:rsidR="001C4F89">
        <w:rPr>
          <w:rFonts w:ascii="Simplified Arabic" w:hAnsi="Simplified Arabic" w:cs="Simplified Arabic" w:hint="cs"/>
          <w:b/>
          <w:bCs/>
          <w:sz w:val="28"/>
          <w:szCs w:val="28"/>
          <w:rtl/>
          <w:lang w:bidi="ar-DZ"/>
        </w:rPr>
        <w:t xml:space="preserve">-الوثائق: </w:t>
      </w:r>
      <w:r w:rsidR="001C4F89">
        <w:rPr>
          <w:rFonts w:ascii="Simplified Arabic" w:hAnsi="Simplified Arabic" w:cs="Simplified Arabic" w:hint="cs"/>
          <w:sz w:val="28"/>
          <w:szCs w:val="28"/>
          <w:rtl/>
          <w:lang w:bidi="ar-DZ"/>
        </w:rPr>
        <w:t>وتأتي في المقام الأول من مصادر التاريخ، لأنها تحوي على مادة تاريخية حية غي</w:t>
      </w:r>
      <w:r w:rsidR="00880F6D">
        <w:rPr>
          <w:rFonts w:ascii="Simplified Arabic" w:hAnsi="Simplified Arabic" w:cs="Simplified Arabic" w:hint="cs"/>
          <w:sz w:val="28"/>
          <w:szCs w:val="28"/>
          <w:rtl/>
          <w:lang w:bidi="ar-DZ"/>
        </w:rPr>
        <w:t>ر</w:t>
      </w:r>
      <w:r w:rsidR="001C4F89">
        <w:rPr>
          <w:rFonts w:ascii="Simplified Arabic" w:hAnsi="Simplified Arabic" w:cs="Simplified Arabic" w:hint="cs"/>
          <w:sz w:val="28"/>
          <w:szCs w:val="28"/>
          <w:rtl/>
          <w:lang w:bidi="ar-DZ"/>
        </w:rPr>
        <w:t xml:space="preserve"> قابلة للتغيير، إذ وُضعت لذاتها، فلم تُكتب لغرض أن تكون شاهدة على التاريخ. والمقصود بها: الأوراق الرسمية لمختلف لدول، كالتقارير السرية وأوراق المعاهدات و</w:t>
      </w:r>
      <w:r w:rsidR="00880F6D">
        <w:rPr>
          <w:rFonts w:ascii="Simplified Arabic" w:hAnsi="Simplified Arabic" w:cs="Simplified Arabic" w:hint="cs"/>
          <w:sz w:val="28"/>
          <w:szCs w:val="28"/>
          <w:rtl/>
          <w:lang w:bidi="ar-DZ"/>
        </w:rPr>
        <w:t>ا</w:t>
      </w:r>
      <w:r w:rsidR="001C4F89">
        <w:rPr>
          <w:rFonts w:ascii="Simplified Arabic" w:hAnsi="Simplified Arabic" w:cs="Simplified Arabic" w:hint="cs"/>
          <w:sz w:val="28"/>
          <w:szCs w:val="28"/>
          <w:rtl/>
          <w:lang w:bidi="ar-DZ"/>
        </w:rPr>
        <w:t>لمراسلات والتعليمات والتسجيلات والمذكرات والحوليات واليوميات</w:t>
      </w:r>
      <w:r>
        <w:rPr>
          <w:rFonts w:ascii="Simplified Arabic" w:hAnsi="Simplified Arabic" w:cs="Simplified Arabic" w:hint="cs"/>
          <w:sz w:val="28"/>
          <w:szCs w:val="28"/>
          <w:rtl/>
          <w:lang w:bidi="ar-DZ"/>
        </w:rPr>
        <w:t>، والأوامر القضائية والمالية والأحكام والفتاوي وكذا تقاليد الولاة والموظفين... إلخ</w:t>
      </w:r>
    </w:p>
    <w:p w:rsidR="00E46686" w:rsidRDefault="00E46686" w:rsidP="00E46686">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ب-الكتابات التاريخية: </w:t>
      </w:r>
      <w:r>
        <w:rPr>
          <w:rFonts w:ascii="Simplified Arabic" w:hAnsi="Simplified Arabic" w:cs="Simplified Arabic" w:hint="cs"/>
          <w:sz w:val="28"/>
          <w:szCs w:val="28"/>
          <w:rtl/>
          <w:lang w:bidi="ar-DZ"/>
        </w:rPr>
        <w:t>وتشمل كتبا مخطوطة وأخرى مطبوعة ومنشورة، وأهمها الكتب الأصلية التي نقل أصحابها فيها حوادث معاصرة لهم، أو اعتمدوا في نقلها على مصادر معاصرة للحدث</w:t>
      </w:r>
      <w:r w:rsidR="00C57E30">
        <w:rPr>
          <w:rFonts w:ascii="Simplified Arabic" w:hAnsi="Simplified Arabic" w:cs="Simplified Arabic" w:hint="cs"/>
          <w:sz w:val="28"/>
          <w:szCs w:val="28"/>
          <w:rtl/>
          <w:lang w:bidi="ar-DZ"/>
        </w:rPr>
        <w:t>.</w:t>
      </w:r>
    </w:p>
    <w:p w:rsidR="00C57E30" w:rsidRDefault="00C57E30" w:rsidP="00C57E30">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-المذكرات والتراجم:</w:t>
      </w:r>
      <w:r>
        <w:rPr>
          <w:rFonts w:ascii="Simplified Arabic" w:hAnsi="Simplified Arabic" w:cs="Simplified Arabic" w:hint="cs"/>
          <w:sz w:val="28"/>
          <w:szCs w:val="28"/>
          <w:rtl/>
          <w:lang w:bidi="ar-DZ"/>
        </w:rPr>
        <w:t xml:space="preserve"> وتكون مفيدة في مراجعة الحقائق المتوفرة فعلا عن حياة ا</w:t>
      </w:r>
      <w:r w:rsidR="00880F6D">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شخص، وقد تفيد قصة حي</w:t>
      </w:r>
      <w:r w:rsidR="00880F6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ة الشخص المعني في تتبع نمو وتأثير بعض الحركات أو الأفكار التاريخية.</w:t>
      </w:r>
    </w:p>
    <w:p w:rsidR="00C57E30" w:rsidRDefault="00C57E30" w:rsidP="00C57E30">
      <w:pPr>
        <w:bidi/>
        <w:spacing w:after="0" w:line="240" w:lineRule="auto"/>
        <w:ind w:firstLine="709"/>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lastRenderedPageBreak/>
        <w:t>-الكتابات الأدبية، وكذا تقارير شهود العيان عن الأحداث.</w:t>
      </w:r>
    </w:p>
    <w:p w:rsidR="00C57E30" w:rsidRDefault="00C57E30" w:rsidP="007C64DE">
      <w:pPr>
        <w:bidi/>
        <w:spacing w:after="0" w:line="240" w:lineRule="auto"/>
        <w:ind w:firstLine="709"/>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ثالثا: إع</w:t>
      </w:r>
      <w:r w:rsidR="007C64DE">
        <w:rPr>
          <w:rFonts w:ascii="Simplified Arabic" w:hAnsi="Simplified Arabic" w:cs="Simplified Arabic" w:hint="cs"/>
          <w:b/>
          <w:bCs/>
          <w:sz w:val="28"/>
          <w:szCs w:val="28"/>
          <w:rtl/>
          <w:lang w:bidi="ar-DZ"/>
        </w:rPr>
        <w:t>داد البطاقات (أو الملفات):</w:t>
      </w:r>
    </w:p>
    <w:p w:rsidR="007C64DE" w:rsidRDefault="00B541A8" w:rsidP="007C64DE">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يجعل الباحث كل عنصر من عناصر خطته المبدئية عنوانا على إحدى ورقات الجمع ثم يش</w:t>
      </w:r>
      <w:r w:rsidR="00880F6D">
        <w:rPr>
          <w:rFonts w:ascii="Simplified Arabic" w:hAnsi="Simplified Arabic" w:cs="Simplified Arabic" w:hint="cs"/>
          <w:sz w:val="28"/>
          <w:szCs w:val="28"/>
          <w:rtl/>
          <w:lang w:bidi="ar-DZ"/>
        </w:rPr>
        <w:t>ر</w:t>
      </w:r>
      <w:r>
        <w:rPr>
          <w:rFonts w:ascii="Simplified Arabic" w:hAnsi="Simplified Arabic" w:cs="Simplified Arabic" w:hint="cs"/>
          <w:sz w:val="28"/>
          <w:szCs w:val="28"/>
          <w:rtl/>
          <w:lang w:bidi="ar-DZ"/>
        </w:rPr>
        <w:t>ع في الجمع، بدءًا بأقدم مصدر لديه (أو مرجع)، حيث يطالع فيه ما يتعلق بموضوعه ويسجل منه "حرفيا" ما يراه مفيدا وملائما لأي عنصر أو عنوان من العناوين المسجلة على أوراق الجمع.</w:t>
      </w:r>
    </w:p>
    <w:p w:rsidR="00B541A8" w:rsidRDefault="00B541A8" w:rsidP="005D6C13">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ويحرس قبل الانتقال من ورقة إلى ورقة أخرى على توثيق ما نقله، وبإمكان البحث عند جمع المعلومات أن يعلّق عليها أو يسجل الأفكار التي تظهر له في الموضوع على نفس الورقة، مع التمييز بين أفكاره الخاصة وبين المعلومات المنقولة بوضع الأفكار المنقولة بين شولتين، وبإمكان الباحث حذف المعلومات التي يراها غير مفيدة لموضوعه أثناء الجمع وتعويضها بثلاث نقاط إن كانت قصيرة</w:t>
      </w:r>
      <w:r w:rsidR="005D6C13">
        <w:rPr>
          <w:rFonts w:ascii="Simplified Arabic" w:hAnsi="Simplified Arabic" w:cs="Simplified Arabic" w:hint="cs"/>
          <w:sz w:val="28"/>
          <w:szCs w:val="28"/>
          <w:rtl/>
          <w:lang w:bidi="ar-DZ"/>
        </w:rPr>
        <w:t xml:space="preserve">. وبإمكانه أيضا أن ينقل اكثر من صفحة واحدة من </w:t>
      </w:r>
      <w:r w:rsidR="00880F6D">
        <w:rPr>
          <w:rFonts w:ascii="Simplified Arabic" w:hAnsi="Simplified Arabic" w:cs="Simplified Arabic" w:hint="cs"/>
          <w:sz w:val="28"/>
          <w:szCs w:val="28"/>
          <w:rtl/>
          <w:lang w:bidi="ar-DZ"/>
        </w:rPr>
        <w:t>ا</w:t>
      </w:r>
      <w:r w:rsidR="005D6C13">
        <w:rPr>
          <w:rFonts w:ascii="Simplified Arabic" w:hAnsi="Simplified Arabic" w:cs="Simplified Arabic" w:hint="cs"/>
          <w:sz w:val="28"/>
          <w:szCs w:val="28"/>
          <w:rtl/>
          <w:lang w:bidi="ar-DZ"/>
        </w:rPr>
        <w:t>لكتاب على ورقة واحدة من ورقات الجمع، على أن يفصل بين الصفحات المنقولة برمز معين يكتبه على ورقة جمع المادة.</w:t>
      </w:r>
    </w:p>
    <w:p w:rsidR="005D6C13" w:rsidRDefault="005D6C13" w:rsidP="005D6C13">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وعند امتلاء ورقة الجمع التي تكتب من جهة واحدة فقط، يسجل عنوان نفس العنصر على ورقة ثانية يعطي لها رقم (2) وتستمر عملية الجمع  فيها بنفس الطريقة، وعند امتلاء الثانية يُسجل نفس العنوان على ورقة أخرى ويعطيها رقم (3)، وهكذا الأمر بالنسبة لب</w:t>
      </w:r>
      <w:r w:rsidR="00880F6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قي الأوراق التي سُجلت عليها بقية عناصر خطة الجمع. مع الحرص على تسجيل اسم المؤلف وعنوان الكتاب ورقم الجزء والصفحة في يمين كل صفحة تجمع فيها معلومات منه.</w:t>
      </w:r>
    </w:p>
    <w:p w:rsidR="005D6C13" w:rsidRPr="00B541A8" w:rsidRDefault="005D6C13" w:rsidP="005D6C13">
      <w:pPr>
        <w:bidi/>
        <w:spacing w:after="0" w:line="240" w:lineRule="auto"/>
        <w:ind w:firstLine="709"/>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وبعد الانتهاء من نقل ما في مصدر (أو مرجع) من بيانات تهم الموضوع، يتم الانتقال إلى المصدر الذي يأتي بعده كرونولوجيا، ويُتعامل معه بنفس الطريقة، ثم يأتي المصدر الذي بعده وهكذا... إلى أن يتم مسح جميع المصادر والمراجع.</w:t>
      </w:r>
    </w:p>
    <w:p w:rsidR="007C64DE" w:rsidRPr="007C64DE" w:rsidRDefault="007C64DE" w:rsidP="007C64DE">
      <w:pPr>
        <w:bidi/>
        <w:spacing w:after="0" w:line="240" w:lineRule="auto"/>
        <w:ind w:firstLine="709"/>
        <w:rPr>
          <w:rFonts w:ascii="Simplified Arabic" w:hAnsi="Simplified Arabic" w:cs="Simplified Arabic" w:hint="cs"/>
          <w:sz w:val="28"/>
          <w:szCs w:val="28"/>
          <w:rtl/>
          <w:lang w:bidi="ar-DZ"/>
        </w:rPr>
      </w:pPr>
    </w:p>
    <w:p w:rsidR="002A60D9" w:rsidRPr="002A60D9" w:rsidRDefault="002A60D9" w:rsidP="002A60D9">
      <w:pPr>
        <w:bidi/>
        <w:spacing w:after="0" w:line="240" w:lineRule="auto"/>
        <w:ind w:firstLine="709"/>
        <w:rPr>
          <w:rFonts w:ascii="Simplified Arabic" w:hAnsi="Simplified Arabic" w:cs="Simplified Arabic" w:hint="cs"/>
          <w:sz w:val="28"/>
          <w:szCs w:val="28"/>
          <w:rtl/>
          <w:lang w:bidi="ar-DZ"/>
        </w:rPr>
      </w:pPr>
    </w:p>
    <w:sectPr w:rsidR="002A60D9" w:rsidRPr="002A60D9" w:rsidSect="002A60D9">
      <w:headerReference w:type="default" r:id="rId7"/>
      <w:footerReference w:type="default" r:id="rId8"/>
      <w:pgSz w:w="11906" w:h="16838"/>
      <w:pgMar w:top="1134" w:right="1134" w:bottom="113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E7E" w:rsidRDefault="00D62E7E" w:rsidP="00880F6D">
      <w:pPr>
        <w:spacing w:after="0" w:line="240" w:lineRule="auto"/>
      </w:pPr>
      <w:r>
        <w:separator/>
      </w:r>
    </w:p>
  </w:endnote>
  <w:endnote w:type="continuationSeparator" w:id="0">
    <w:p w:rsidR="00D62E7E" w:rsidRDefault="00D62E7E" w:rsidP="0088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636962"/>
      <w:docPartObj>
        <w:docPartGallery w:val="Page Numbers (Bottom of Page)"/>
        <w:docPartUnique/>
      </w:docPartObj>
    </w:sdtPr>
    <w:sdtContent>
      <w:p w:rsidR="00880F6D" w:rsidRDefault="00880F6D">
        <w:pPr>
          <w:pStyle w:val="Pieddepage"/>
          <w:jc w:val="center"/>
        </w:pPr>
        <w:r>
          <w:fldChar w:fldCharType="begin"/>
        </w:r>
        <w:r>
          <w:instrText>PAGE   \* MERGEFORMAT</w:instrText>
        </w:r>
        <w:r>
          <w:fldChar w:fldCharType="separate"/>
        </w:r>
        <w:r w:rsidR="00D62E7E">
          <w:rPr>
            <w:noProof/>
          </w:rPr>
          <w:t>1</w:t>
        </w:r>
        <w:r>
          <w:fldChar w:fldCharType="end"/>
        </w:r>
      </w:p>
    </w:sdtContent>
  </w:sdt>
  <w:p w:rsidR="00880F6D" w:rsidRDefault="00880F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E7E" w:rsidRDefault="00D62E7E" w:rsidP="00880F6D">
      <w:pPr>
        <w:spacing w:after="0" w:line="240" w:lineRule="auto"/>
      </w:pPr>
      <w:r>
        <w:separator/>
      </w:r>
    </w:p>
  </w:footnote>
  <w:footnote w:type="continuationSeparator" w:id="0">
    <w:p w:rsidR="00D62E7E" w:rsidRDefault="00D62E7E" w:rsidP="00880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re"/>
      <w:id w:val="77738743"/>
      <w:placeholder>
        <w:docPart w:val="720989691056480B9F1DBD412D0E6B2B"/>
      </w:placeholder>
      <w:dataBinding w:prefixMappings="xmlns:ns0='http://schemas.openxmlformats.org/package/2006/metadata/core-properties' xmlns:ns1='http://purl.org/dc/elements/1.1/'" w:xpath="/ns0:coreProperties[1]/ns1:title[1]" w:storeItemID="{6C3C8BC8-F283-45AE-878A-BAB7291924A1}"/>
      <w:text/>
    </w:sdtPr>
    <w:sdtContent>
      <w:p w:rsidR="00880F6D" w:rsidRDefault="00880F6D" w:rsidP="00880F6D">
        <w:pPr>
          <w:pStyle w:val="En-tte"/>
          <w:pBdr>
            <w:bottom w:val="thickThinSmallGap" w:sz="24" w:space="1" w:color="622423" w:themeColor="accent2" w:themeShade="7F"/>
          </w:pBdr>
          <w:bidi/>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المحاضرة الثانية                                                                          د. حفيظة لعياضي</w:t>
        </w:r>
      </w:p>
    </w:sdtContent>
  </w:sdt>
  <w:p w:rsidR="00880F6D" w:rsidRDefault="00880F6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0D9"/>
    <w:rsid w:val="001B6C6F"/>
    <w:rsid w:val="001C4F89"/>
    <w:rsid w:val="001E1A01"/>
    <w:rsid w:val="002A60D9"/>
    <w:rsid w:val="005D6C13"/>
    <w:rsid w:val="007C64DE"/>
    <w:rsid w:val="00880F6D"/>
    <w:rsid w:val="00A75125"/>
    <w:rsid w:val="00B541A8"/>
    <w:rsid w:val="00C57E30"/>
    <w:rsid w:val="00D62E7E"/>
    <w:rsid w:val="00E46686"/>
    <w:rsid w:val="00F243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0F6D"/>
    <w:pPr>
      <w:tabs>
        <w:tab w:val="center" w:pos="4536"/>
        <w:tab w:val="right" w:pos="9072"/>
      </w:tabs>
      <w:spacing w:after="0" w:line="240" w:lineRule="auto"/>
    </w:pPr>
  </w:style>
  <w:style w:type="character" w:customStyle="1" w:styleId="En-tteCar">
    <w:name w:val="En-tête Car"/>
    <w:basedOn w:val="Policepardfaut"/>
    <w:link w:val="En-tte"/>
    <w:uiPriority w:val="99"/>
    <w:rsid w:val="00880F6D"/>
  </w:style>
  <w:style w:type="paragraph" w:styleId="Pieddepage">
    <w:name w:val="footer"/>
    <w:basedOn w:val="Normal"/>
    <w:link w:val="PieddepageCar"/>
    <w:uiPriority w:val="99"/>
    <w:unhideWhenUsed/>
    <w:rsid w:val="00880F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0F6D"/>
  </w:style>
  <w:style w:type="paragraph" w:styleId="Textedebulles">
    <w:name w:val="Balloon Text"/>
    <w:basedOn w:val="Normal"/>
    <w:link w:val="TextedebullesCar"/>
    <w:uiPriority w:val="99"/>
    <w:semiHidden/>
    <w:unhideWhenUsed/>
    <w:rsid w:val="00880F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0F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0F6D"/>
    <w:pPr>
      <w:tabs>
        <w:tab w:val="center" w:pos="4536"/>
        <w:tab w:val="right" w:pos="9072"/>
      </w:tabs>
      <w:spacing w:after="0" w:line="240" w:lineRule="auto"/>
    </w:pPr>
  </w:style>
  <w:style w:type="character" w:customStyle="1" w:styleId="En-tteCar">
    <w:name w:val="En-tête Car"/>
    <w:basedOn w:val="Policepardfaut"/>
    <w:link w:val="En-tte"/>
    <w:uiPriority w:val="99"/>
    <w:rsid w:val="00880F6D"/>
  </w:style>
  <w:style w:type="paragraph" w:styleId="Pieddepage">
    <w:name w:val="footer"/>
    <w:basedOn w:val="Normal"/>
    <w:link w:val="PieddepageCar"/>
    <w:uiPriority w:val="99"/>
    <w:unhideWhenUsed/>
    <w:rsid w:val="00880F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0F6D"/>
  </w:style>
  <w:style w:type="paragraph" w:styleId="Textedebulles">
    <w:name w:val="Balloon Text"/>
    <w:basedOn w:val="Normal"/>
    <w:link w:val="TextedebullesCar"/>
    <w:uiPriority w:val="99"/>
    <w:semiHidden/>
    <w:unhideWhenUsed/>
    <w:rsid w:val="00880F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0F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0989691056480B9F1DBD412D0E6B2B"/>
        <w:category>
          <w:name w:val="Général"/>
          <w:gallery w:val="placeholder"/>
        </w:category>
        <w:types>
          <w:type w:val="bbPlcHdr"/>
        </w:types>
        <w:behaviors>
          <w:behavior w:val="content"/>
        </w:behaviors>
        <w:guid w:val="{13FE2D8F-8966-4C74-8270-31FADFF37C01}"/>
      </w:docPartPr>
      <w:docPartBody>
        <w:p w:rsidR="00000000" w:rsidRDefault="00853BCD" w:rsidP="00853BCD">
          <w:pPr>
            <w:pStyle w:val="720989691056480B9F1DBD412D0E6B2B"/>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CD"/>
    <w:rsid w:val="006467D3"/>
    <w:rsid w:val="00853B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0989691056480B9F1DBD412D0E6B2B">
    <w:name w:val="720989691056480B9F1DBD412D0E6B2B"/>
    <w:rsid w:val="00853B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0989691056480B9F1DBD412D0E6B2B">
    <w:name w:val="720989691056480B9F1DBD412D0E6B2B"/>
    <w:rsid w:val="00853B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546</Words>
  <Characters>3005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الثانية                                                                          د. حفيظة لعياضي</dc:title>
  <dc:creator>Acer</dc:creator>
  <cp:lastModifiedBy>Acer</cp:lastModifiedBy>
  <cp:revision>3</cp:revision>
  <dcterms:created xsi:type="dcterms:W3CDTF">2022-11-26T17:16:00Z</dcterms:created>
  <dcterms:modified xsi:type="dcterms:W3CDTF">2022-11-26T17:22:00Z</dcterms:modified>
</cp:coreProperties>
</file>