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5D" w:rsidRPr="00CD705D" w:rsidRDefault="0053705D" w:rsidP="0053705D">
      <w:pPr>
        <w:pStyle w:val="EndnoteText"/>
        <w:bidi/>
        <w:rPr>
          <w:rFonts w:cs="DecoType Naskh"/>
          <w:sz w:val="28"/>
          <w:szCs w:val="28"/>
          <w:rtl/>
        </w:rPr>
      </w:pPr>
      <w:r>
        <w:rPr>
          <w:rStyle w:val="EndnoteReference"/>
        </w:rPr>
        <w:footnoteRef/>
      </w:r>
      <w:r>
        <w:rPr>
          <w:rFonts w:hint="cs"/>
          <w:rtl/>
          <w:lang w:val="en-US"/>
        </w:rPr>
        <w:t>-</w:t>
      </w:r>
      <w:r w:rsidRPr="00CD705D">
        <w:rPr>
          <w:rFonts w:cs="DecoType Naskh" w:hint="cs"/>
          <w:sz w:val="28"/>
          <w:szCs w:val="28"/>
          <w:rtl/>
        </w:rPr>
        <w:t>خ</w:t>
      </w:r>
      <w:r w:rsidRPr="00CD705D">
        <w:rPr>
          <w:rFonts w:cs="DecoType Naskh"/>
          <w:sz w:val="28"/>
          <w:szCs w:val="28"/>
          <w:rtl/>
        </w:rPr>
        <w:t>ل</w:t>
      </w:r>
      <w:r w:rsidRPr="00CD705D">
        <w:rPr>
          <w:rFonts w:cs="DecoType Naskh" w:hint="cs"/>
          <w:sz w:val="28"/>
          <w:szCs w:val="28"/>
          <w:rtl/>
        </w:rPr>
        <w:t xml:space="preserve">يلي </w:t>
      </w:r>
      <w:r w:rsidRPr="00CD705D">
        <w:rPr>
          <w:rFonts w:cs="DecoType Naskh"/>
          <w:sz w:val="28"/>
          <w:szCs w:val="28"/>
          <w:rtl/>
        </w:rPr>
        <w:t xml:space="preserve">عبد العزيز، اللسانيات العامة واللسانيات العربية،مطبعة النجاح </w:t>
      </w:r>
      <w:r w:rsidRPr="00CD705D">
        <w:rPr>
          <w:rFonts w:cs="DecoType Naskh" w:hint="cs"/>
          <w:sz w:val="28"/>
          <w:szCs w:val="28"/>
          <w:rtl/>
        </w:rPr>
        <w:t>الجديدة</w:t>
      </w:r>
      <w:r w:rsidRPr="00CD705D">
        <w:rPr>
          <w:rFonts w:cs="DecoType Naskh"/>
          <w:sz w:val="28"/>
          <w:szCs w:val="28"/>
          <w:rtl/>
        </w:rPr>
        <w:t xml:space="preserve">، </w:t>
      </w:r>
      <w:r w:rsidRPr="00CD705D">
        <w:rPr>
          <w:rFonts w:cs="DecoType Naskh" w:hint="cs"/>
          <w:sz w:val="28"/>
          <w:szCs w:val="28"/>
          <w:rtl/>
        </w:rPr>
        <w:t>الدار</w:t>
      </w:r>
      <w:r w:rsidRPr="00CD705D">
        <w:rPr>
          <w:rFonts w:cs="DecoType Naskh"/>
          <w:sz w:val="28"/>
          <w:szCs w:val="28"/>
          <w:rtl/>
        </w:rPr>
        <w:t xml:space="preserve"> البيضاء، </w:t>
      </w:r>
      <w:r w:rsidRPr="00CD705D">
        <w:rPr>
          <w:rFonts w:cs="DecoType Naskh" w:hint="cs"/>
          <w:sz w:val="28"/>
          <w:szCs w:val="28"/>
          <w:rtl/>
        </w:rPr>
        <w:t>المغرب</w:t>
      </w:r>
      <w:r w:rsidRPr="00CD705D">
        <w:rPr>
          <w:rFonts w:cs="DecoType Naskh"/>
          <w:sz w:val="28"/>
          <w:szCs w:val="28"/>
          <w:rtl/>
        </w:rPr>
        <w:t xml:space="preserve">، </w:t>
      </w:r>
      <w:r w:rsidRPr="00CD705D">
        <w:rPr>
          <w:rFonts w:cs="DecoType Naskh" w:hint="cs"/>
          <w:sz w:val="28"/>
          <w:szCs w:val="28"/>
          <w:rtl/>
        </w:rPr>
        <w:t>1991، ط3،</w:t>
      </w:r>
      <w:r w:rsidRPr="00CD705D">
        <w:rPr>
          <w:rFonts w:cs="DecoType Naskh"/>
          <w:sz w:val="28"/>
          <w:szCs w:val="28"/>
          <w:rtl/>
        </w:rPr>
        <w:t xml:space="preserve">ص، </w:t>
      </w:r>
      <w:r w:rsidRPr="00CD705D">
        <w:rPr>
          <w:rFonts w:cs="DecoType Naskh" w:hint="cs"/>
          <w:sz w:val="28"/>
          <w:szCs w:val="28"/>
          <w:rtl/>
        </w:rPr>
        <w:t>11</w:t>
      </w:r>
    </w:p>
    <w:p w:rsidR="0053705D" w:rsidRPr="00CD705D" w:rsidRDefault="0053705D" w:rsidP="0053705D">
      <w:pPr>
        <w:pStyle w:val="EndnoteText"/>
        <w:bidi/>
        <w:rPr>
          <w:rFonts w:cs="DecoType Naskh"/>
          <w:sz w:val="28"/>
          <w:szCs w:val="28"/>
          <w:rtl/>
        </w:rPr>
      </w:pPr>
      <w:r w:rsidRPr="00CD705D">
        <w:rPr>
          <w:rStyle w:val="EndnoteReference"/>
          <w:rFonts w:cs="DecoType Naskh"/>
          <w:sz w:val="28"/>
          <w:szCs w:val="28"/>
        </w:rPr>
        <w:footnoteRef/>
      </w:r>
      <w:r w:rsidRPr="00CD705D">
        <w:rPr>
          <w:rFonts w:cs="DecoType Naskh" w:hint="cs"/>
          <w:sz w:val="28"/>
          <w:szCs w:val="28"/>
          <w:rtl/>
        </w:rPr>
        <w:t>-  نفسه، ص 12</w:t>
      </w:r>
    </w:p>
    <w:p w:rsidR="0053705D" w:rsidRPr="00CD705D" w:rsidRDefault="0053705D" w:rsidP="0053705D">
      <w:pPr>
        <w:pStyle w:val="EndnoteText"/>
        <w:bidi/>
        <w:rPr>
          <w:rFonts w:cs="DecoType Naskh"/>
          <w:sz w:val="28"/>
          <w:szCs w:val="28"/>
          <w:rtl/>
        </w:rPr>
      </w:pPr>
      <w:r w:rsidRPr="00CD705D">
        <w:rPr>
          <w:rStyle w:val="EndnoteReference"/>
          <w:rFonts w:cs="DecoType Naskh"/>
          <w:sz w:val="28"/>
          <w:szCs w:val="28"/>
        </w:rPr>
        <w:footnoteRef/>
      </w:r>
      <w:r w:rsidRPr="00CD705D">
        <w:rPr>
          <w:rFonts w:cs="DecoType Naskh" w:hint="cs"/>
          <w:sz w:val="28"/>
          <w:szCs w:val="28"/>
          <w:rtl/>
        </w:rPr>
        <w:t xml:space="preserve">- </w:t>
      </w:r>
      <w:r w:rsidRPr="00CD705D">
        <w:rPr>
          <w:rFonts w:cs="DecoType Naskh"/>
          <w:sz w:val="28"/>
          <w:szCs w:val="28"/>
          <w:rtl/>
        </w:rPr>
        <w:t xml:space="preserve">قدور </w:t>
      </w:r>
      <w:r w:rsidRPr="00CD705D">
        <w:rPr>
          <w:rFonts w:cs="DecoType Naskh" w:hint="cs"/>
          <w:sz w:val="28"/>
          <w:szCs w:val="28"/>
          <w:rtl/>
        </w:rPr>
        <w:t xml:space="preserve">أحمد محمد: </w:t>
      </w:r>
      <w:r w:rsidRPr="00CD705D">
        <w:rPr>
          <w:rFonts w:cs="DecoType Naskh"/>
          <w:sz w:val="28"/>
          <w:szCs w:val="28"/>
          <w:rtl/>
        </w:rPr>
        <w:t xml:space="preserve"> مبادئ اللسانيات، ،دار الفكر، دمشق، سور</w:t>
      </w:r>
      <w:r w:rsidRPr="00CD705D">
        <w:rPr>
          <w:rFonts w:cs="DecoType Naskh" w:hint="cs"/>
          <w:sz w:val="28"/>
          <w:szCs w:val="28"/>
          <w:rtl/>
        </w:rPr>
        <w:t>ية</w:t>
      </w:r>
      <w:r w:rsidRPr="00CD705D">
        <w:rPr>
          <w:rFonts w:cs="DecoType Naskh"/>
          <w:sz w:val="28"/>
          <w:szCs w:val="28"/>
          <w:rtl/>
        </w:rPr>
        <w:t>،</w:t>
      </w:r>
      <w:r w:rsidRPr="00CD705D">
        <w:rPr>
          <w:rFonts w:cs="DecoType Naskh" w:hint="cs"/>
          <w:sz w:val="28"/>
          <w:szCs w:val="28"/>
          <w:rtl/>
        </w:rPr>
        <w:t>ط3</w:t>
      </w:r>
      <w:r w:rsidRPr="00CD705D">
        <w:rPr>
          <w:rFonts w:cs="DecoType Naskh"/>
          <w:sz w:val="28"/>
          <w:szCs w:val="28"/>
          <w:rtl/>
        </w:rPr>
        <w:t xml:space="preserve"> ،</w:t>
      </w:r>
      <w:r w:rsidRPr="00CD705D">
        <w:rPr>
          <w:rFonts w:cs="DecoType Naskh" w:hint="cs"/>
          <w:sz w:val="28"/>
          <w:szCs w:val="28"/>
          <w:rtl/>
        </w:rPr>
        <w:t xml:space="preserve">2008، </w:t>
      </w:r>
      <w:r w:rsidRPr="00CD705D">
        <w:rPr>
          <w:rFonts w:cs="DecoType Naskh"/>
          <w:sz w:val="28"/>
          <w:szCs w:val="28"/>
          <w:rtl/>
        </w:rPr>
        <w:t>ص3</w:t>
      </w:r>
    </w:p>
    <w:p w:rsidR="0053705D" w:rsidRPr="00CD705D" w:rsidRDefault="0053705D" w:rsidP="0053705D">
      <w:pPr>
        <w:pStyle w:val="EndnoteText"/>
        <w:bidi/>
        <w:rPr>
          <w:rFonts w:cs="DecoType Naskh"/>
          <w:sz w:val="28"/>
          <w:szCs w:val="28"/>
          <w:rtl/>
        </w:rPr>
      </w:pPr>
      <w:r w:rsidRPr="00CD705D">
        <w:rPr>
          <w:rStyle w:val="EndnoteReference"/>
          <w:rFonts w:cs="DecoType Naskh"/>
          <w:sz w:val="28"/>
          <w:szCs w:val="28"/>
        </w:rPr>
        <w:footnoteRef/>
      </w:r>
      <w:r w:rsidRPr="00CD705D">
        <w:rPr>
          <w:rFonts w:cs="DecoType Naskh" w:hint="cs"/>
          <w:sz w:val="28"/>
          <w:szCs w:val="28"/>
          <w:rtl/>
        </w:rPr>
        <w:t>- ينظر، فرديناند</w:t>
      </w:r>
      <w:r w:rsidRPr="00CD705D">
        <w:rPr>
          <w:rFonts w:cs="DecoType Naskh"/>
          <w:sz w:val="28"/>
          <w:szCs w:val="28"/>
          <w:rtl/>
        </w:rPr>
        <w:t xml:space="preserve"> دي سو</w:t>
      </w:r>
      <w:r w:rsidRPr="00CD705D">
        <w:rPr>
          <w:rFonts w:cs="DecoType Naskh" w:hint="cs"/>
          <w:sz w:val="28"/>
          <w:szCs w:val="28"/>
          <w:rtl/>
        </w:rPr>
        <w:t>سي</w:t>
      </w:r>
      <w:r w:rsidRPr="00CD705D">
        <w:rPr>
          <w:rFonts w:cs="DecoType Naskh"/>
          <w:sz w:val="28"/>
          <w:szCs w:val="28"/>
          <w:rtl/>
        </w:rPr>
        <w:t xml:space="preserve">ر ، محاضرات </w:t>
      </w:r>
      <w:r>
        <w:rPr>
          <w:rFonts w:cs="DecoType Naskh" w:hint="cs"/>
          <w:sz w:val="28"/>
          <w:szCs w:val="28"/>
          <w:rtl/>
        </w:rPr>
        <w:t>في</w:t>
      </w:r>
      <w:r w:rsidRPr="00CD705D">
        <w:rPr>
          <w:rFonts w:cs="DecoType Naskh"/>
          <w:sz w:val="28"/>
          <w:szCs w:val="28"/>
          <w:rtl/>
        </w:rPr>
        <w:t xml:space="preserve"> علم اللسان العام ،</w:t>
      </w:r>
      <w:r w:rsidRPr="00CD705D">
        <w:rPr>
          <w:rFonts w:cs="DecoType Naskh" w:hint="cs"/>
          <w:sz w:val="28"/>
          <w:szCs w:val="28"/>
          <w:rtl/>
        </w:rPr>
        <w:t xml:space="preserve"> ترجمة</w:t>
      </w:r>
      <w:r w:rsidRPr="00CD705D">
        <w:rPr>
          <w:rFonts w:cs="DecoType Naskh"/>
          <w:sz w:val="28"/>
          <w:szCs w:val="28"/>
          <w:rtl/>
        </w:rPr>
        <w:t xml:space="preserve">، عبد القادر </w:t>
      </w:r>
      <w:r w:rsidRPr="00CD705D">
        <w:rPr>
          <w:rFonts w:cs="DecoType Naskh" w:hint="cs"/>
          <w:sz w:val="28"/>
          <w:szCs w:val="28"/>
          <w:rtl/>
        </w:rPr>
        <w:t>قنينني</w:t>
      </w:r>
      <w:r w:rsidRPr="00CD705D">
        <w:rPr>
          <w:rFonts w:cs="DecoType Naskh"/>
          <w:sz w:val="28"/>
          <w:szCs w:val="28"/>
          <w:rtl/>
        </w:rPr>
        <w:t xml:space="preserve"> ، </w:t>
      </w:r>
      <w:r w:rsidRPr="00CD705D">
        <w:rPr>
          <w:rFonts w:cs="DecoType Naskh" w:hint="cs"/>
          <w:sz w:val="28"/>
          <w:szCs w:val="28"/>
          <w:rtl/>
        </w:rPr>
        <w:t>إفريقيا</w:t>
      </w:r>
      <w:r w:rsidRPr="00CD705D">
        <w:rPr>
          <w:rFonts w:cs="DecoType Naskh"/>
          <w:sz w:val="28"/>
          <w:szCs w:val="28"/>
          <w:rtl/>
        </w:rPr>
        <w:t xml:space="preserve"> الشرق ، المغرب </w:t>
      </w:r>
      <w:r w:rsidRPr="00CD705D">
        <w:rPr>
          <w:rFonts w:cs="DecoType Naskh" w:hint="cs"/>
          <w:sz w:val="28"/>
          <w:szCs w:val="28"/>
          <w:rtl/>
        </w:rPr>
        <w:t xml:space="preserve">، </w:t>
      </w:r>
      <w:r w:rsidRPr="00CD705D">
        <w:rPr>
          <w:rFonts w:cs="DecoType Naskh"/>
          <w:sz w:val="28"/>
          <w:szCs w:val="28"/>
          <w:rtl/>
        </w:rPr>
        <w:t xml:space="preserve"> د ط </w:t>
      </w:r>
      <w:r w:rsidRPr="00CD705D">
        <w:rPr>
          <w:rFonts w:cs="DecoType Naskh" w:hint="cs"/>
          <w:sz w:val="28"/>
          <w:szCs w:val="28"/>
          <w:rtl/>
        </w:rPr>
        <w:t>، 2004</w:t>
      </w:r>
      <w:r w:rsidRPr="00CD705D">
        <w:rPr>
          <w:rFonts w:cs="DecoType Naskh"/>
          <w:sz w:val="28"/>
          <w:szCs w:val="28"/>
          <w:rtl/>
        </w:rPr>
        <w:t>، ص 9</w:t>
      </w:r>
    </w:p>
    <w:p w:rsidR="0053705D" w:rsidRPr="00CD705D" w:rsidRDefault="0053705D" w:rsidP="0053705D">
      <w:pPr>
        <w:pStyle w:val="EndnoteText"/>
        <w:bidi/>
        <w:rPr>
          <w:rFonts w:cs="DecoType Naskh"/>
          <w:sz w:val="28"/>
          <w:szCs w:val="28"/>
          <w:rtl/>
        </w:rPr>
      </w:pPr>
      <w:r w:rsidRPr="00CD705D">
        <w:rPr>
          <w:rStyle w:val="EndnoteReference"/>
          <w:rFonts w:cs="DecoType Naskh"/>
          <w:sz w:val="28"/>
          <w:szCs w:val="28"/>
        </w:rPr>
        <w:footnoteRef/>
      </w:r>
      <w:r w:rsidRPr="00CD705D">
        <w:rPr>
          <w:rFonts w:cs="DecoType Naskh" w:hint="cs"/>
          <w:sz w:val="28"/>
          <w:szCs w:val="28"/>
          <w:rtl/>
        </w:rPr>
        <w:t xml:space="preserve">- </w:t>
      </w:r>
      <w:r w:rsidRPr="00CD705D">
        <w:rPr>
          <w:rFonts w:cs="DecoType Naskh"/>
          <w:sz w:val="28"/>
          <w:szCs w:val="28"/>
          <w:rtl/>
        </w:rPr>
        <w:t>أحمد حسا</w:t>
      </w:r>
      <w:r>
        <w:rPr>
          <w:rFonts w:cs="DecoType Naskh" w:hint="cs"/>
          <w:sz w:val="28"/>
          <w:szCs w:val="28"/>
          <w:rtl/>
        </w:rPr>
        <w:t>ني</w:t>
      </w:r>
      <w:r w:rsidRPr="00CD705D">
        <w:rPr>
          <w:rFonts w:cs="DecoType Naskh" w:hint="cs"/>
          <w:sz w:val="28"/>
          <w:szCs w:val="28"/>
          <w:rtl/>
        </w:rPr>
        <w:t xml:space="preserve">: </w:t>
      </w:r>
      <w:r w:rsidRPr="00CD705D">
        <w:rPr>
          <w:rFonts w:cs="DecoType Naskh"/>
          <w:sz w:val="28"/>
          <w:szCs w:val="28"/>
          <w:rtl/>
        </w:rPr>
        <w:t xml:space="preserve"> مباحث </w:t>
      </w:r>
      <w:r w:rsidRPr="00CD705D">
        <w:rPr>
          <w:rFonts w:cs="DecoType Naskh" w:hint="cs"/>
          <w:sz w:val="28"/>
          <w:szCs w:val="28"/>
          <w:rtl/>
        </w:rPr>
        <w:t>في اللسانيات</w:t>
      </w:r>
      <w:r w:rsidRPr="00CD705D">
        <w:rPr>
          <w:rFonts w:cs="DecoType Naskh"/>
          <w:sz w:val="28"/>
          <w:szCs w:val="28"/>
          <w:rtl/>
        </w:rPr>
        <w:t xml:space="preserve"> ، صو</w:t>
      </w:r>
      <w:r w:rsidRPr="00CD705D">
        <w:rPr>
          <w:rFonts w:cs="DecoType Naskh" w:hint="cs"/>
          <w:sz w:val="28"/>
          <w:szCs w:val="28"/>
          <w:rtl/>
        </w:rPr>
        <w:t>تي</w:t>
      </w:r>
      <w:r w:rsidRPr="00CD705D">
        <w:rPr>
          <w:rFonts w:cs="DecoType Naskh"/>
          <w:sz w:val="28"/>
          <w:szCs w:val="28"/>
          <w:rtl/>
        </w:rPr>
        <w:t xml:space="preserve"> ، تر</w:t>
      </w:r>
      <w:r w:rsidRPr="00CD705D">
        <w:rPr>
          <w:rFonts w:cs="DecoType Naskh" w:hint="cs"/>
          <w:sz w:val="28"/>
          <w:szCs w:val="28"/>
          <w:rtl/>
        </w:rPr>
        <w:t>كيبي</w:t>
      </w:r>
      <w:r w:rsidRPr="00CD705D">
        <w:rPr>
          <w:rFonts w:cs="DecoType Naskh"/>
          <w:sz w:val="28"/>
          <w:szCs w:val="28"/>
          <w:rtl/>
        </w:rPr>
        <w:t>، د</w:t>
      </w:r>
      <w:r>
        <w:rPr>
          <w:rFonts w:cs="DecoType Naskh" w:hint="cs"/>
          <w:sz w:val="28"/>
          <w:szCs w:val="28"/>
          <w:rtl/>
        </w:rPr>
        <w:t>لال</w:t>
      </w:r>
      <w:r w:rsidRPr="00CD705D">
        <w:rPr>
          <w:rFonts w:cs="DecoType Naskh" w:hint="cs"/>
          <w:sz w:val="28"/>
          <w:szCs w:val="28"/>
          <w:rtl/>
        </w:rPr>
        <w:t>ي</w:t>
      </w:r>
      <w:r w:rsidRPr="00CD705D">
        <w:rPr>
          <w:rFonts w:cs="DecoType Naskh"/>
          <w:sz w:val="28"/>
          <w:szCs w:val="28"/>
          <w:rtl/>
        </w:rPr>
        <w:t xml:space="preserve">، </w:t>
      </w:r>
      <w:r w:rsidRPr="000265FE">
        <w:rPr>
          <w:rFonts w:cs="DecoType Naskh"/>
          <w:sz w:val="28"/>
          <w:szCs w:val="28"/>
        </w:rPr>
        <w:t> </w:t>
      </w:r>
      <w:r w:rsidRPr="000265FE">
        <w:rPr>
          <w:rFonts w:cs="DecoType Naskh"/>
          <w:sz w:val="28"/>
          <w:szCs w:val="28"/>
          <w:rtl/>
        </w:rPr>
        <w:t>ديوان المطبوعات الجامعية،</w:t>
      </w:r>
      <w:r w:rsidRPr="000265FE">
        <w:rPr>
          <w:rFonts w:cs="DecoType Naskh" w:hint="cs"/>
          <w:sz w:val="28"/>
          <w:szCs w:val="28"/>
          <w:rtl/>
        </w:rPr>
        <w:t xml:space="preserve">الجزائر، </w:t>
      </w:r>
      <w:r w:rsidRPr="000265FE">
        <w:rPr>
          <w:rFonts w:cs="DecoType Naskh"/>
          <w:sz w:val="28"/>
          <w:szCs w:val="28"/>
          <w:rtl/>
        </w:rPr>
        <w:t xml:space="preserve"> 1994</w:t>
      </w:r>
      <w:r w:rsidRPr="00CD705D">
        <w:rPr>
          <w:rFonts w:cs="DecoType Naskh"/>
          <w:sz w:val="28"/>
          <w:szCs w:val="28"/>
          <w:rtl/>
        </w:rPr>
        <w:t>ص 91</w:t>
      </w:r>
      <w:r w:rsidRPr="00CD705D">
        <w:rPr>
          <w:rFonts w:cs="DecoType Naskh"/>
          <w:sz w:val="28"/>
          <w:szCs w:val="28"/>
        </w:rPr>
        <w:t>.</w:t>
      </w:r>
    </w:p>
    <w:p w:rsidR="0053705D" w:rsidRPr="00CD705D" w:rsidRDefault="0053705D" w:rsidP="0053705D">
      <w:pPr>
        <w:pStyle w:val="EndnoteText"/>
        <w:bidi/>
        <w:rPr>
          <w:rFonts w:cs="DecoType Naskh"/>
          <w:sz w:val="28"/>
          <w:szCs w:val="28"/>
          <w:rtl/>
        </w:rPr>
      </w:pPr>
      <w:r w:rsidRPr="00CD705D">
        <w:rPr>
          <w:rStyle w:val="EndnoteReference"/>
          <w:rFonts w:cs="DecoType Naskh"/>
          <w:sz w:val="28"/>
          <w:szCs w:val="28"/>
        </w:rPr>
        <w:footnoteRef/>
      </w:r>
      <w:r w:rsidRPr="00CD705D">
        <w:rPr>
          <w:rFonts w:cs="DecoType Naskh" w:hint="cs"/>
          <w:sz w:val="28"/>
          <w:szCs w:val="28"/>
          <w:rtl/>
        </w:rPr>
        <w:t>- مباحثفياللسانيات،ص</w:t>
      </w:r>
      <w:r w:rsidRPr="00CD705D">
        <w:rPr>
          <w:rFonts w:cs="DecoType Naskh"/>
          <w:sz w:val="28"/>
          <w:szCs w:val="28"/>
          <w:rtl/>
        </w:rPr>
        <w:t xml:space="preserve"> 41</w:t>
      </w:r>
    </w:p>
    <w:p w:rsidR="0053705D" w:rsidRPr="00CD705D" w:rsidRDefault="0053705D" w:rsidP="0053705D">
      <w:pPr>
        <w:pStyle w:val="EndnoteText"/>
        <w:bidi/>
        <w:rPr>
          <w:sz w:val="28"/>
          <w:szCs w:val="28"/>
          <w:rtl/>
        </w:rPr>
      </w:pPr>
      <w:r w:rsidRPr="00CD705D">
        <w:rPr>
          <w:rFonts w:cs="DecoType Naskh"/>
          <w:sz w:val="28"/>
          <w:szCs w:val="28"/>
        </w:rPr>
        <w:footnoteRef/>
      </w:r>
      <w:r w:rsidRPr="00CD705D">
        <w:rPr>
          <w:rFonts w:cs="DecoType Naskh" w:hint="cs"/>
          <w:sz w:val="28"/>
          <w:szCs w:val="28"/>
          <w:rtl/>
        </w:rPr>
        <w:t>- محمودفھميحجازي</w:t>
      </w:r>
      <w:r w:rsidRPr="00CD705D">
        <w:rPr>
          <w:rFonts w:cs="DecoType Naskh"/>
          <w:sz w:val="28"/>
          <w:szCs w:val="28"/>
          <w:rtl/>
        </w:rPr>
        <w:t xml:space="preserve">: </w:t>
      </w:r>
      <w:r w:rsidRPr="00CD705D">
        <w:rPr>
          <w:rFonts w:cs="DecoType Naskh" w:hint="cs"/>
          <w:sz w:val="28"/>
          <w:szCs w:val="28"/>
          <w:rtl/>
        </w:rPr>
        <w:t>المدخلإلىعلماللغة،دارالثقافةللطباعةوالنشر</w:t>
      </w:r>
      <w:r>
        <w:rPr>
          <w:rFonts w:cs="DecoType Naskh" w:hint="cs"/>
          <w:sz w:val="28"/>
          <w:szCs w:val="28"/>
          <w:rtl/>
        </w:rPr>
        <w:t xml:space="preserve">، مصر </w:t>
      </w:r>
      <w:r w:rsidRPr="00CD705D">
        <w:rPr>
          <w:rFonts w:cs="DecoType Naskh" w:hint="cs"/>
          <w:sz w:val="28"/>
          <w:szCs w:val="28"/>
          <w:rtl/>
        </w:rPr>
        <w:t>،ط</w:t>
      </w:r>
      <w:r w:rsidRPr="00CD705D">
        <w:rPr>
          <w:rFonts w:cs="DecoType Naskh"/>
          <w:sz w:val="28"/>
          <w:szCs w:val="28"/>
          <w:rtl/>
        </w:rPr>
        <w:t xml:space="preserve">2 </w:t>
      </w:r>
      <w:r w:rsidRPr="00CD705D">
        <w:rPr>
          <w:rFonts w:cs="DecoType Naskh" w:hint="cs"/>
          <w:sz w:val="28"/>
          <w:szCs w:val="28"/>
          <w:rtl/>
        </w:rPr>
        <w:t>،</w:t>
      </w:r>
      <w:r w:rsidRPr="00CD705D">
        <w:rPr>
          <w:rFonts w:cs="DecoType Naskh"/>
          <w:sz w:val="28"/>
          <w:szCs w:val="28"/>
          <w:rtl/>
        </w:rPr>
        <w:t xml:space="preserve">1978 </w:t>
      </w:r>
      <w:r w:rsidRPr="00CD705D">
        <w:rPr>
          <w:rFonts w:cs="DecoType Naskh" w:hint="cs"/>
          <w:sz w:val="28"/>
          <w:szCs w:val="28"/>
          <w:rtl/>
        </w:rPr>
        <w:t>،ص</w:t>
      </w:r>
      <w:r w:rsidRPr="00CD705D">
        <w:rPr>
          <w:rFonts w:cs="DecoType Naskh"/>
          <w:sz w:val="28"/>
          <w:szCs w:val="28"/>
          <w:rtl/>
        </w:rPr>
        <w:t xml:space="preserve"> 36</w:t>
      </w:r>
    </w:p>
    <w:p w:rsidR="0053705D" w:rsidRPr="00CD705D" w:rsidRDefault="0053705D" w:rsidP="0053705D">
      <w:pPr>
        <w:pStyle w:val="EndnoteText"/>
        <w:bidi/>
        <w:rPr>
          <w:rFonts w:cs="DecoType Naskh"/>
          <w:sz w:val="28"/>
          <w:szCs w:val="28"/>
          <w:rtl/>
        </w:rPr>
      </w:pPr>
      <w:r w:rsidRPr="00CD705D">
        <w:rPr>
          <w:rFonts w:cs="DecoType Naskh"/>
          <w:sz w:val="28"/>
          <w:szCs w:val="28"/>
        </w:rPr>
        <w:footnoteRef/>
      </w:r>
      <w:r w:rsidRPr="00CD705D">
        <w:rPr>
          <w:rFonts w:cs="DecoType Naskh" w:hint="cs"/>
          <w:sz w:val="28"/>
          <w:szCs w:val="28"/>
          <w:rtl/>
        </w:rPr>
        <w:t xml:space="preserve"> - </w:t>
      </w:r>
      <w:r w:rsidRPr="00CD705D">
        <w:rPr>
          <w:rFonts w:cs="DecoType Naskh"/>
          <w:sz w:val="28"/>
          <w:szCs w:val="28"/>
          <w:rtl/>
        </w:rPr>
        <w:t>محمود السعران</w:t>
      </w:r>
      <w:r w:rsidRPr="00CD705D">
        <w:rPr>
          <w:rFonts w:cs="DecoType Naskh"/>
          <w:sz w:val="28"/>
          <w:szCs w:val="28"/>
        </w:rPr>
        <w:t>: 159 -</w:t>
      </w:r>
      <w:r w:rsidRPr="00CD705D">
        <w:rPr>
          <w:rFonts w:cs="DecoType Naskh"/>
          <w:sz w:val="28"/>
          <w:szCs w:val="28"/>
          <w:rtl/>
        </w:rPr>
        <w:t xml:space="preserve">علم اللغة، مقدمة </w:t>
      </w:r>
      <w:r w:rsidRPr="00CD705D">
        <w:rPr>
          <w:rFonts w:cs="DecoType Naskh" w:hint="cs"/>
          <w:sz w:val="28"/>
          <w:szCs w:val="28"/>
          <w:rtl/>
        </w:rPr>
        <w:t>للقارئ</w:t>
      </w:r>
      <w:r w:rsidRPr="00CD705D">
        <w:rPr>
          <w:rFonts w:cs="DecoType Naskh"/>
          <w:sz w:val="28"/>
          <w:szCs w:val="28"/>
          <w:rtl/>
        </w:rPr>
        <w:t xml:space="preserve"> العربي، دار النهضة العربية للطباعة </w:t>
      </w:r>
      <w:r w:rsidRPr="00CD705D">
        <w:rPr>
          <w:rFonts w:cs="DecoType Naskh" w:hint="cs"/>
          <w:sz w:val="28"/>
          <w:szCs w:val="28"/>
          <w:rtl/>
        </w:rPr>
        <w:t>والنشر د.ت، ص 25</w:t>
      </w:r>
    </w:p>
    <w:p w:rsidR="003843A6" w:rsidRDefault="0053705D" w:rsidP="0053705D">
      <w:r w:rsidRPr="00CD705D">
        <w:rPr>
          <w:rFonts w:cs="DecoType Naskh"/>
          <w:sz w:val="28"/>
          <w:szCs w:val="28"/>
        </w:rPr>
        <w:footnoteRef/>
      </w:r>
      <w:r w:rsidRPr="00CD705D">
        <w:rPr>
          <w:rFonts w:cs="DecoType Naskh" w:hint="cs"/>
          <w:sz w:val="28"/>
          <w:szCs w:val="28"/>
          <w:rtl/>
        </w:rPr>
        <w:t>- إبراھیمأنیس</w:t>
      </w:r>
      <w:r w:rsidRPr="00CD705D">
        <w:rPr>
          <w:rFonts w:cs="DecoType Naskh"/>
          <w:sz w:val="28"/>
          <w:szCs w:val="28"/>
          <w:rtl/>
        </w:rPr>
        <w:t xml:space="preserve">: </w:t>
      </w:r>
      <w:r w:rsidRPr="00CD705D">
        <w:rPr>
          <w:rFonts w:cs="DecoType Naskh" w:hint="cs"/>
          <w:sz w:val="28"/>
          <w:szCs w:val="28"/>
          <w:rtl/>
        </w:rPr>
        <w:t>الأصواتاللغویة،</w:t>
      </w:r>
      <w:r>
        <w:rPr>
          <w:rFonts w:cs="DecoType Naskh" w:hint="cs"/>
          <w:sz w:val="28"/>
          <w:szCs w:val="28"/>
          <w:rtl/>
        </w:rPr>
        <w:t xml:space="preserve"> مكتبة نهضة مصر، القاهرة،</w:t>
      </w:r>
      <w:r w:rsidRPr="00CD705D">
        <w:rPr>
          <w:rFonts w:cs="DecoType Naskh" w:hint="cs"/>
          <w:sz w:val="28"/>
          <w:szCs w:val="28"/>
          <w:rtl/>
        </w:rPr>
        <w:t>ص</w:t>
      </w:r>
      <w:r w:rsidRPr="00CD705D">
        <w:rPr>
          <w:rFonts w:cs="DecoType Naskh"/>
          <w:sz w:val="28"/>
          <w:szCs w:val="28"/>
          <w:rtl/>
        </w:rPr>
        <w:t xml:space="preserve"> 19</w:t>
      </w:r>
    </w:p>
    <w:sectPr w:rsidR="003843A6" w:rsidSect="003843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8D9"/>
    <w:rsid w:val="003843A6"/>
    <w:rsid w:val="0053705D"/>
    <w:rsid w:val="00B168D9"/>
    <w:rsid w:val="00BA5A83"/>
    <w:rsid w:val="00DB59BF"/>
    <w:rsid w:val="00DD744C"/>
    <w:rsid w:val="00E9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D9"/>
    <w:pPr>
      <w:spacing w:after="160" w:line="259" w:lineRule="auto"/>
      <w:jc w:val="right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B168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4439"/>
    <w:pPr>
      <w:spacing w:after="0" w:line="240" w:lineRule="auto"/>
      <w:jc w:val="left"/>
    </w:pPr>
    <w:rPr>
      <w:rFonts w:cs="Calibri"/>
      <w:sz w:val="20"/>
      <w:szCs w:val="20"/>
      <w:lang w:eastAsia="fr-F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4439"/>
    <w:rPr>
      <w:rFonts w:ascii="Calibri" w:eastAsia="Calibri" w:hAnsi="Calibri" w:cs="Calibri"/>
      <w:sz w:val="20"/>
      <w:szCs w:val="20"/>
      <w:lang w:eastAsia="fr-FR"/>
    </w:rPr>
  </w:style>
  <w:style w:type="character" w:styleId="EndnoteReference">
    <w:name w:val="endnote reference"/>
    <w:basedOn w:val="DefaultParagraphFont"/>
    <w:uiPriority w:val="99"/>
    <w:semiHidden/>
    <w:unhideWhenUsed/>
    <w:rsid w:val="00E944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fllpc</dc:creator>
  <cp:lastModifiedBy>FLL-PC</cp:lastModifiedBy>
  <cp:revision>2</cp:revision>
  <dcterms:created xsi:type="dcterms:W3CDTF">2022-12-07T08:42:00Z</dcterms:created>
  <dcterms:modified xsi:type="dcterms:W3CDTF">2022-12-07T08:42:00Z</dcterms:modified>
</cp:coreProperties>
</file>