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25" w:rsidRPr="00004525" w:rsidRDefault="00004525" w:rsidP="00CA7B70">
      <w:pPr>
        <w:tabs>
          <w:tab w:val="left" w:pos="6368"/>
        </w:tabs>
        <w:spacing w:line="240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004525">
        <w:rPr>
          <w:rFonts w:ascii="Sakkal Majalla" w:hAnsi="Sakkal Majalla" w:cs="Sakkal Majalla" w:hint="cs"/>
          <w:b/>
          <w:bCs/>
          <w:sz w:val="28"/>
          <w:szCs w:val="28"/>
          <w:rtl/>
        </w:rPr>
        <w:t>قائمة المصادر والمراجع</w:t>
      </w:r>
    </w:p>
    <w:p w:rsidR="002A5A7B" w:rsidRPr="00980D19" w:rsidRDefault="00980D19" w:rsidP="00004525">
      <w:pPr>
        <w:tabs>
          <w:tab w:val="left" w:pos="6368"/>
        </w:tabs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جابر عصفور، </w:t>
      </w:r>
      <w:r w:rsidR="00642FD7" w:rsidRPr="00980D1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A7B70" w:rsidRPr="00980D19">
        <w:rPr>
          <w:rFonts w:ascii="Sakkal Majalla" w:hAnsi="Sakkal Majalla" w:cs="Sakkal Majalla"/>
          <w:sz w:val="28"/>
          <w:szCs w:val="28"/>
          <w:rtl/>
        </w:rPr>
        <w:t xml:space="preserve">نظريات معاصرة ، القاهرة ، مكتبة الأسرة ، الهيئة المصرية العامة للكتاب ،1998 </w:t>
      </w:r>
    </w:p>
    <w:p w:rsidR="006F3333" w:rsidRPr="00980D19" w:rsidRDefault="00144E40" w:rsidP="00980D19">
      <w:pPr>
        <w:pStyle w:val="a4"/>
        <w:jc w:val="both"/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سيد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البحراوي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: البحث عن المنهج في النقد العربي الحديث ، القاهرة ، دار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الشوقيات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، ط01، 1993. </w:t>
      </w:r>
    </w:p>
    <w:p w:rsidR="00144E40" w:rsidRPr="00980D19" w:rsidRDefault="00144E40" w:rsidP="00980D19">
      <w:pPr>
        <w:pStyle w:val="a4"/>
        <w:jc w:val="both"/>
        <w:rPr>
          <w:rFonts w:ascii="Sakkal Majalla" w:hAnsi="Sakkal Majalla" w:cs="Sakkal Majalla"/>
          <w:sz w:val="28"/>
          <w:szCs w:val="28"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حبيب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مونسي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: القراءة والحداثة ، دمشق ، اتحاد الكتاب العرب ، 2000.</w:t>
      </w:r>
    </w:p>
    <w:p w:rsidR="00CA7B70" w:rsidRPr="00980D19" w:rsidRDefault="00CA7B70" w:rsidP="00980D19">
      <w:pPr>
        <w:pStyle w:val="a4"/>
        <w:jc w:val="both"/>
        <w:rPr>
          <w:rFonts w:ascii="Sakkal Majalla" w:hAnsi="Sakkal Majalla" w:cs="Sakkal Majalla"/>
          <w:sz w:val="28"/>
          <w:szCs w:val="28"/>
        </w:rPr>
      </w:pP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تيري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إيغلتون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: نظرية الأدب ، تر: ثائر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ديب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، دمشق ، منشورات وزارة الثقافة ،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1995.</w:t>
      </w:r>
    </w:p>
    <w:p w:rsidR="006F3333" w:rsidRPr="00980D19" w:rsidRDefault="006F3333" w:rsidP="006F3333">
      <w:pPr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الجرجاني، التعريفات </w:t>
      </w:r>
      <w:r w:rsidR="00980D19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proofErr w:type="spellStart"/>
      <w:r w:rsidR="00980D19">
        <w:rPr>
          <w:rFonts w:ascii="Sakkal Majalla" w:hAnsi="Sakkal Majalla" w:cs="Sakkal Majalla" w:hint="cs"/>
          <w:sz w:val="28"/>
          <w:szCs w:val="28"/>
          <w:rtl/>
        </w:rPr>
        <w:t>تح</w:t>
      </w:r>
      <w:proofErr w:type="spellEnd"/>
      <w:r w:rsidR="00980D19">
        <w:rPr>
          <w:rFonts w:ascii="Sakkal Majalla" w:hAnsi="Sakkal Majalla" w:cs="Sakkal Majalla" w:hint="cs"/>
          <w:sz w:val="28"/>
          <w:szCs w:val="28"/>
          <w:rtl/>
        </w:rPr>
        <w:t>، نصر الدين تونسي، شركة القدس القاهرة، ط01، 2007.</w:t>
      </w:r>
      <w:r w:rsidRPr="00980D19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6F3333" w:rsidRPr="00980D19" w:rsidRDefault="006F3333" w:rsidP="006F3333">
      <w:pPr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  <w:lang w:val="fr-FR"/>
        </w:rPr>
        <w:t xml:space="preserve">إبراهيم فتحي، معجم المصطلحات الأدبية  </w:t>
      </w:r>
      <w:r w:rsidRPr="00980D19">
        <w:rPr>
          <w:rFonts w:ascii="Sakkal Majalla" w:hAnsi="Sakkal Majalla" w:cs="Sakkal Majalla"/>
          <w:sz w:val="28"/>
          <w:szCs w:val="28"/>
          <w:rtl/>
        </w:rPr>
        <w:t xml:space="preserve">،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صفاقص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المؤسسة العربية للناشرين،1986.   </w:t>
      </w:r>
    </w:p>
    <w:p w:rsidR="006F3333" w:rsidRPr="00980D19" w:rsidRDefault="006F3333">
      <w:pPr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أرسطو:فن الشعر، تر:إبراهيم حمادة، مكتبة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الأنجلو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المصرية، ص04</w:t>
      </w:r>
    </w:p>
    <w:p w:rsidR="006F3333" w:rsidRPr="00980D19" w:rsidRDefault="006F3333">
      <w:pPr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كروتشه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، المجمل في فلسفة الفن، تر:سامي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الدروبي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، المركز الثقافي العربي، بيروت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الدرا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البيضاء، ط01،2009</w:t>
      </w:r>
    </w:p>
    <w:p w:rsidR="006F3333" w:rsidRPr="00980D19" w:rsidRDefault="006F3333">
      <w:pPr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تزفيتان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تودوروف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>، نظرية الأجناس الأدبية، تر: عبد الرحمن بوعلي، دار نينوى، دمشق، ط01،2016</w:t>
      </w:r>
    </w:p>
    <w:p w:rsidR="006F3333" w:rsidRPr="00980D19" w:rsidRDefault="006F3333" w:rsidP="00004525">
      <w:pPr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رشيد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يحياوي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، مقدمات في نظرية الأنواع الأدبية، مؤسسة أروقة للنشر، القاهرة، ط01، 2017، </w:t>
      </w:r>
      <w:r w:rsidR="0000452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6F3333" w:rsidRPr="00980D19" w:rsidRDefault="006F3333">
      <w:pPr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>سعيد يقطين،انفتاح النص الروائي،المركز الثقافي العربي، الدار البيضاء بيروت،ط02،2001،</w:t>
      </w:r>
    </w:p>
    <w:p w:rsidR="006F3333" w:rsidRPr="00980D19" w:rsidRDefault="006F3333">
      <w:pPr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تزفيتان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تودوروف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، ميخائيل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باختين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 xml:space="preserve"> والمبدأ الحواري، تر:فخري صالح، المؤسسة العربية للدراسات والنشر، عمان الأردن،ط02،1996</w:t>
      </w:r>
    </w:p>
    <w:p w:rsidR="006F3333" w:rsidRPr="00980D19" w:rsidRDefault="006F3333" w:rsidP="00004525">
      <w:pPr>
        <w:rPr>
          <w:rFonts w:ascii="Sakkal Majalla" w:hAnsi="Sakkal Majalla" w:cs="Sakkal Majalla"/>
          <w:sz w:val="28"/>
          <w:szCs w:val="28"/>
          <w:rtl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فضل </w:t>
      </w:r>
      <w:proofErr w:type="spellStart"/>
      <w:r w:rsidRPr="00980D19">
        <w:rPr>
          <w:rFonts w:ascii="Sakkal Majalla" w:hAnsi="Sakkal Majalla" w:cs="Sakkal Majalla"/>
          <w:sz w:val="28"/>
          <w:szCs w:val="28"/>
          <w:rtl/>
        </w:rPr>
        <w:t>ثامر</w:t>
      </w:r>
      <w:proofErr w:type="spellEnd"/>
      <w:r w:rsidRPr="00980D19">
        <w:rPr>
          <w:rFonts w:ascii="Sakkal Majalla" w:hAnsi="Sakkal Majalla" w:cs="Sakkal Majalla"/>
          <w:sz w:val="28"/>
          <w:szCs w:val="28"/>
          <w:rtl/>
        </w:rPr>
        <w:t>، اللغة الثانية، المركز الثقافي العربي، بيروت، ط01، 1994</w:t>
      </w:r>
    </w:p>
    <w:p w:rsidR="00642FD7" w:rsidRPr="00980D19" w:rsidRDefault="006F3333" w:rsidP="00980D19">
      <w:pPr>
        <w:pStyle w:val="a4"/>
        <w:jc w:val="both"/>
        <w:rPr>
          <w:rFonts w:ascii="Sakkal Majalla" w:hAnsi="Sakkal Majalla" w:cs="Sakkal Majalla"/>
          <w:sz w:val="28"/>
          <w:szCs w:val="28"/>
        </w:rPr>
      </w:pPr>
      <w:r w:rsidRPr="00980D19">
        <w:rPr>
          <w:rFonts w:ascii="Sakkal Majalla" w:hAnsi="Sakkal Majalla" w:cs="Sakkal Majalla"/>
          <w:sz w:val="28"/>
          <w:szCs w:val="28"/>
          <w:rtl/>
        </w:rPr>
        <w:t xml:space="preserve">إحسان عباس، </w:t>
      </w:r>
      <w:r w:rsidR="00642FD7" w:rsidRPr="00980D19">
        <w:rPr>
          <w:rFonts w:ascii="Sakkal Majalla" w:hAnsi="Sakkal Majalla" w:cs="Sakkal Majalla"/>
          <w:sz w:val="28"/>
          <w:szCs w:val="28"/>
          <w:rtl/>
        </w:rPr>
        <w:t>تاريخ النقد الأدبي عند العرب(نقد الشعر من القرن الثاني حتى القرن الثامن الهجري)، عمان، دار الشروق، ط01، 2006 .</w:t>
      </w:r>
    </w:p>
    <w:p w:rsidR="006F3333" w:rsidRPr="00980D19" w:rsidRDefault="00980D19" w:rsidP="00642FD7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sectPr w:rsidR="006F3333" w:rsidRPr="00980D19" w:rsidSect="005F5A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253"/>
    <w:multiLevelType w:val="hybridMultilevel"/>
    <w:tmpl w:val="5A7EE8A8"/>
    <w:lvl w:ilvl="0" w:tplc="60A4D468">
      <w:start w:val="1"/>
      <w:numFmt w:val="bullet"/>
      <w:lvlText w:val="-"/>
      <w:lvlJc w:val="left"/>
      <w:pPr>
        <w:ind w:left="81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7590557"/>
    <w:multiLevelType w:val="hybridMultilevel"/>
    <w:tmpl w:val="F4EEE8FE"/>
    <w:lvl w:ilvl="0" w:tplc="040C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savePreviewPicture/>
  <w:compat/>
  <w:rsids>
    <w:rsidRoot w:val="006F3333"/>
    <w:rsid w:val="00004525"/>
    <w:rsid w:val="001071EA"/>
    <w:rsid w:val="00144E40"/>
    <w:rsid w:val="002A5A7B"/>
    <w:rsid w:val="005F5A4A"/>
    <w:rsid w:val="00642FD7"/>
    <w:rsid w:val="006F3333"/>
    <w:rsid w:val="00980D19"/>
    <w:rsid w:val="00CA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F3333"/>
    <w:rPr>
      <w:vertAlign w:val="superscript"/>
    </w:rPr>
  </w:style>
  <w:style w:type="paragraph" w:styleId="a4">
    <w:name w:val="footnote text"/>
    <w:basedOn w:val="a"/>
    <w:link w:val="Char"/>
    <w:unhideWhenUsed/>
    <w:rsid w:val="00642FD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rsid w:val="00642F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MIDAGUIN</dc:creator>
  <cp:lastModifiedBy>MIDAGUIN</cp:lastModifiedBy>
  <cp:revision>2</cp:revision>
  <dcterms:created xsi:type="dcterms:W3CDTF">2022-12-17T16:04:00Z</dcterms:created>
  <dcterms:modified xsi:type="dcterms:W3CDTF">2022-12-17T16:04:00Z</dcterms:modified>
</cp:coreProperties>
</file>