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BD" w:rsidRDefault="00FE42E4" w:rsidP="00E81F69">
      <w:pPr>
        <w:bidi/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E42E4">
        <w:rPr>
          <w:rFonts w:ascii="Arial" w:hAnsi="Arial" w:cs="Arial" w:hint="cs"/>
          <w:b/>
          <w:bCs/>
          <w:sz w:val="28"/>
          <w:szCs w:val="28"/>
          <w:rtl/>
        </w:rPr>
        <w:t xml:space="preserve">الضريبة على أرباح الشركات </w:t>
      </w:r>
      <w:r w:rsidRPr="00FE42E4">
        <w:rPr>
          <w:rFonts w:ascii="Arial" w:hAnsi="Arial" w:cs="Arial"/>
          <w:b/>
          <w:bCs/>
          <w:sz w:val="28"/>
          <w:szCs w:val="28"/>
        </w:rPr>
        <w:t>(IBS)</w:t>
      </w:r>
    </w:p>
    <w:p w:rsidR="00FE42E4" w:rsidRPr="00FE42E4" w:rsidRDefault="00FE42E4" w:rsidP="00E81F69">
      <w:pPr>
        <w:bidi/>
        <w:spacing w:before="120" w:after="12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FE42E4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تعريف </w:t>
      </w:r>
      <w:r w:rsidRPr="00FE42E4">
        <w:rPr>
          <w:rFonts w:ascii="Arial" w:hAnsi="Arial" w:cs="Arial"/>
          <w:b/>
          <w:bCs/>
          <w:sz w:val="28"/>
          <w:szCs w:val="28"/>
          <w:u w:val="single"/>
        </w:rPr>
        <w:t>IBS</w:t>
      </w:r>
      <w:r w:rsidRPr="00FE42E4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المادة </w:t>
      </w:r>
      <w:r>
        <w:rPr>
          <w:rFonts w:ascii="Arial" w:hAnsi="Arial" w:cs="Arial"/>
          <w:b/>
          <w:bCs/>
          <w:sz w:val="28"/>
          <w:szCs w:val="28"/>
        </w:rPr>
        <w:t>135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Pr="00FE42E4">
        <w:rPr>
          <w:rFonts w:ascii="Arial" w:hAnsi="Arial" w:cs="Arial" w:hint="cs"/>
          <w:sz w:val="28"/>
          <w:szCs w:val="28"/>
          <w:rtl/>
        </w:rPr>
        <w:t>تؤسس ضريبة سنوية على مجمل الأرباح أو المداخيل التي تحققها الشركات وغيرها من الأشخاص المعنويين ( الضريبة على أرباح الشركات).</w:t>
      </w:r>
    </w:p>
    <w:p w:rsidR="00FE42E4" w:rsidRDefault="00FE42E4" w:rsidP="00E81F69">
      <w:pPr>
        <w:bidi/>
        <w:spacing w:before="120" w:after="12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FE42E4">
        <w:rPr>
          <w:rFonts w:ascii="Arial" w:hAnsi="Arial" w:cs="Arial" w:hint="cs"/>
          <w:b/>
          <w:bCs/>
          <w:sz w:val="28"/>
          <w:szCs w:val="28"/>
          <w:u w:val="single"/>
          <w:rtl/>
        </w:rPr>
        <w:t>مجال التطبيق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</w:p>
    <w:p w:rsidR="00FE42E4" w:rsidRDefault="00FE42E4" w:rsidP="00E81F69">
      <w:pPr>
        <w:bidi/>
        <w:spacing w:before="120" w:after="12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تخضع للضريبة على أرباح الشركات بصفة إجبارية الشركات التالية:</w:t>
      </w:r>
    </w:p>
    <w:p w:rsidR="00FE42E4" w:rsidRDefault="00FE42E4" w:rsidP="00E81F69">
      <w:pPr>
        <w:pStyle w:val="Paragraphedeliste"/>
        <w:numPr>
          <w:ilvl w:val="0"/>
          <w:numId w:val="1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شركات المساهمة</w:t>
      </w:r>
      <w:r>
        <w:rPr>
          <w:rFonts w:ascii="Arial" w:hAnsi="Arial" w:cs="Arial"/>
          <w:sz w:val="28"/>
          <w:szCs w:val="28"/>
        </w:rPr>
        <w:t xml:space="preserve"> SPA 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FE42E4" w:rsidRDefault="00FE42E4" w:rsidP="00E81F69">
      <w:pPr>
        <w:pStyle w:val="Paragraphedeliste"/>
        <w:numPr>
          <w:ilvl w:val="0"/>
          <w:numId w:val="1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الشركات ذات المسؤولية المحدودة </w:t>
      </w:r>
      <w:r>
        <w:rPr>
          <w:rFonts w:ascii="Arial" w:hAnsi="Arial" w:cs="Arial"/>
          <w:sz w:val="28"/>
          <w:szCs w:val="28"/>
        </w:rPr>
        <w:t>SARL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FE42E4" w:rsidRDefault="00FE42E4" w:rsidP="00E81F69">
      <w:pPr>
        <w:pStyle w:val="Paragraphedeliste"/>
        <w:numPr>
          <w:ilvl w:val="0"/>
          <w:numId w:val="1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المؤسسات ذات الشخص الوحيد ذات المسؤولية المحدودة </w:t>
      </w:r>
      <w:r>
        <w:rPr>
          <w:rFonts w:ascii="Arial" w:hAnsi="Arial" w:cs="Arial"/>
          <w:sz w:val="28"/>
          <w:szCs w:val="28"/>
        </w:rPr>
        <w:t>EURL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FE42E4" w:rsidRDefault="00FE42E4" w:rsidP="00E81F69">
      <w:pPr>
        <w:pStyle w:val="Paragraphedeliste"/>
        <w:numPr>
          <w:ilvl w:val="0"/>
          <w:numId w:val="1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شركات التوصية بالأسهم </w:t>
      </w:r>
      <w:r>
        <w:rPr>
          <w:rFonts w:ascii="Arial" w:hAnsi="Arial" w:cs="Arial"/>
          <w:sz w:val="28"/>
          <w:szCs w:val="28"/>
        </w:rPr>
        <w:t>SCA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FE42E4" w:rsidRDefault="00FE42E4" w:rsidP="00E81F69">
      <w:pPr>
        <w:pStyle w:val="Paragraphedeliste"/>
        <w:numPr>
          <w:ilvl w:val="0"/>
          <w:numId w:val="1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المؤسسات و الهيئات العمومية ذات الطابع الصناعي و التجاري؛ </w:t>
      </w:r>
    </w:p>
    <w:p w:rsidR="00FE42E4" w:rsidRDefault="00FE42E4" w:rsidP="00E81F69">
      <w:pPr>
        <w:pStyle w:val="Paragraphedeliste"/>
        <w:numPr>
          <w:ilvl w:val="0"/>
          <w:numId w:val="1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الشركات المدنية المتكونة تحت شكل شركة الأسهم؛</w:t>
      </w:r>
    </w:p>
    <w:p w:rsidR="00FE42E4" w:rsidRP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 w:rsidRPr="00FE42E4">
        <w:rPr>
          <w:rFonts w:ascii="Arial" w:hAnsi="Arial" w:cs="Arial" w:hint="cs"/>
          <w:sz w:val="28"/>
          <w:szCs w:val="28"/>
          <w:rtl/>
        </w:rPr>
        <w:t>تخضع للضريبة على أرباح الشركات بصفة اختيارية الشركات التالية:</w:t>
      </w:r>
    </w:p>
    <w:p w:rsidR="00FE42E4" w:rsidRDefault="00FE42E4" w:rsidP="00E81F69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شركات الأشخاص؛</w:t>
      </w:r>
    </w:p>
    <w:p w:rsidR="00FE42E4" w:rsidRDefault="00FE42E4" w:rsidP="00E81F69">
      <w:pPr>
        <w:pStyle w:val="Paragraphedeliste"/>
        <w:numPr>
          <w:ilvl w:val="0"/>
          <w:numId w:val="3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شركات التضامن </w:t>
      </w:r>
      <w:r>
        <w:rPr>
          <w:rFonts w:ascii="Arial" w:hAnsi="Arial" w:cs="Arial"/>
          <w:sz w:val="28"/>
          <w:szCs w:val="28"/>
        </w:rPr>
        <w:t>SNC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FE42E4" w:rsidRDefault="00FE42E4" w:rsidP="00E81F69">
      <w:pPr>
        <w:pStyle w:val="Paragraphedeliste"/>
        <w:numPr>
          <w:ilvl w:val="0"/>
          <w:numId w:val="3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 w:rsidRPr="00FE42E4">
        <w:rPr>
          <w:rFonts w:ascii="Arial" w:hAnsi="Arial" w:cs="Arial" w:hint="cs"/>
          <w:sz w:val="28"/>
          <w:szCs w:val="28"/>
          <w:rtl/>
        </w:rPr>
        <w:t xml:space="preserve">شركات التوصية البسيطة </w:t>
      </w:r>
      <w:r w:rsidRPr="00FE42E4">
        <w:rPr>
          <w:rFonts w:ascii="Arial" w:hAnsi="Arial" w:cs="Arial"/>
          <w:sz w:val="28"/>
          <w:szCs w:val="28"/>
        </w:rPr>
        <w:t xml:space="preserve">SCS </w:t>
      </w:r>
      <w:r w:rsidRPr="00FE42E4">
        <w:rPr>
          <w:rFonts w:ascii="Arial" w:hAnsi="Arial" w:cs="Arial" w:hint="cs"/>
          <w:sz w:val="28"/>
          <w:szCs w:val="28"/>
          <w:rtl/>
        </w:rPr>
        <w:t>؛</w:t>
      </w:r>
    </w:p>
    <w:p w:rsidR="00FE42E4" w:rsidRPr="00FE42E4" w:rsidRDefault="00FE42E4" w:rsidP="00E81F69">
      <w:pPr>
        <w:pStyle w:val="Paragraphedeliste"/>
        <w:numPr>
          <w:ilvl w:val="0"/>
          <w:numId w:val="3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 w:rsidRPr="00FE42E4">
        <w:rPr>
          <w:rFonts w:ascii="Arial" w:hAnsi="Arial" w:cs="Arial" w:hint="cs"/>
          <w:sz w:val="28"/>
          <w:szCs w:val="28"/>
          <w:rtl/>
        </w:rPr>
        <w:t>الشركات المدنية.</w:t>
      </w:r>
    </w:p>
    <w:p w:rsidR="00FE42E4" w:rsidRDefault="00FE42E4" w:rsidP="00E81F69">
      <w:pPr>
        <w:pStyle w:val="Paragraphedeliste"/>
        <w:bidi/>
        <w:spacing w:before="120" w:after="120" w:line="360" w:lineRule="auto"/>
        <w:ind w:left="72"/>
        <w:contextualSpacing w:val="0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E42E4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الإعفاءات:</w:t>
      </w:r>
    </w:p>
    <w:p w:rsidR="00FE42E4" w:rsidRDefault="00FE42E4" w:rsidP="00E81F69">
      <w:pPr>
        <w:pStyle w:val="Paragraphedeliste"/>
        <w:bidi/>
        <w:spacing w:before="120" w:after="120" w:line="360" w:lineRule="auto"/>
        <w:ind w:left="72"/>
        <w:contextualSpacing w:val="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حسب المادة 138 من قانون الضرائب المباشرة و الرسوم المماثلة:</w:t>
      </w:r>
    </w:p>
    <w:p w:rsidR="00FE42E4" w:rsidRDefault="00FE42E4" w:rsidP="00E81F69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FE42E4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الإعفاءات الدائمة</w:t>
      </w:r>
      <w:r w:rsidRPr="00FE42E4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1/ التعاونيات الاستهلاكية التابعة للمؤسسات و الهيئات العمومية؛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2/ المؤسسات التابعة لجمعيات الأشخاص ذوي الاحتياجات الخاصة وكذا الهياكل التي تتبعها؛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3/ صندوق التعاون الفلاحي؛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4/ التعاونيات الفلاحية للتموين و الشراء؛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>5/ الشركات التعاونية لإنتاج وتحويل وحفظ المنتوجات الفلاحية، وكذا اتحاداتها المعتمدة؛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6/ المداخيل المُحققة من النشاطات المتعلقة بالحليب الطازج الموجه للاستهلاك على حالته؛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7/ عمليات تصدير السلع و الخدمات؛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8/ الفرق و الهيئات التي تمارس نشاط مسرحي.</w:t>
      </w:r>
    </w:p>
    <w:p w:rsidR="00FE42E4" w:rsidRDefault="00FE42E4" w:rsidP="00E81F69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FE42E4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الإعفاءات المؤقتة</w:t>
      </w:r>
      <w:r w:rsidRPr="00FE42E4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1/ الأنشطة التي يمارسها الشباب ذو المشاريع المؤهلون للاستفادة من إعانة "الوكالة الوطنية لدعم وتنمية المقاولاتية" أو "الصندوق الوطني لدعم القرض المصغر" أو " الصندوق الوطني للتأمين على البطالة" لمدة 3 سنوات إبتداءا من تاريخ الشروع في استغلالها.</w:t>
      </w:r>
    </w:p>
    <w:p w:rsidR="00FE42E4" w:rsidRDefault="00FE42E4" w:rsidP="00E81F69">
      <w:pPr>
        <w:bidi/>
        <w:spacing w:before="120" w:after="120" w:line="360" w:lineRule="auto"/>
        <w:ind w:left="72" w:firstLine="36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تُرفع مدة الإعفاء إلى 6 سنوات إذا كانت الأنشطة ممارسة في منطقة يجب ترقيتها، وذلك ابتداءا من تاريخ الشروع في الاستغلال. و تُمدد فترة الإعفاء بسنتين عندما يتعهد المستثمرون بتوظيف 3 عمال على الأقل لمدة غير محددة.</w:t>
      </w:r>
    </w:p>
    <w:p w:rsidR="00FE42E4" w:rsidRDefault="00FE42E4" w:rsidP="00E81F69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 w:rsidRPr="00FE42E4">
        <w:rPr>
          <w:rFonts w:ascii="Arial" w:hAnsi="Arial" w:cs="Arial" w:hint="cs"/>
          <w:sz w:val="28"/>
          <w:szCs w:val="28"/>
          <w:rtl/>
        </w:rPr>
        <w:t xml:space="preserve">إذا تواجدت </w:t>
      </w:r>
      <w:r>
        <w:rPr>
          <w:rFonts w:ascii="Arial" w:hAnsi="Arial" w:cs="Arial" w:hint="cs"/>
          <w:sz w:val="28"/>
          <w:szCs w:val="28"/>
          <w:rtl/>
        </w:rPr>
        <w:t>الأنشطة السابقة الذكر في منطقة الجنوب وتستفيد من مساعدة صندوق تسيير عمليات الاستثمارات العمومية المسجلة في ميزانية التجهيز للدولة و تطوير مناطق الجنوب و الهضاب العليا تُمدد مدة الإعفاء إلى 10 سنوات ابتداءا من تاريخ الشروع في الاستغلال.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2/ المؤسسات السياحية المنشأة من قبل مستثمرين وطنيين أو أجانب باستثناء وكالات السياحة و الأسفار لمدة 10 سنوات.</w:t>
      </w:r>
    </w:p>
    <w:p w:rsidR="00FE42E4" w:rsidRDefault="00FE42E4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3/ وكالات السياحة و الأسفار، وكذا المؤسسات الفندقية لمدة 3 سنوات ابتداءا من تاريخ بداية النشاط يحدد الربح المُعفى على أساس رقم الأعمال المُحقق بالعملة الصعبة.</w:t>
      </w:r>
    </w:p>
    <w:p w:rsidR="00FE42E4" w:rsidRDefault="0099011C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eastAsia="fr-FR"/>
        </w:rPr>
        <w:pict>
          <v:rect id="_x0000_s1026" style="position:absolute;left:0;text-align:left;margin-left:99pt;margin-top:34.45pt;width:297pt;height:36pt;z-index:251658240">
            <v:textbox>
              <w:txbxContent>
                <w:p w:rsidR="00FE42E4" w:rsidRPr="00FE42E4" w:rsidRDefault="00FE42E4" w:rsidP="00FE42E4">
                  <w:pPr>
                    <w:bidi/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FE42E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الضريبة على أرباح الشركات= الربح الجبائي </w:t>
                  </w:r>
                  <w:r w:rsidRPr="00FE42E4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x </w:t>
                  </w:r>
                  <w:r w:rsidRPr="00FE42E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المُعدل</w:t>
                  </w:r>
                </w:p>
              </w:txbxContent>
            </v:textbox>
          </v:rect>
        </w:pict>
      </w:r>
      <w:r w:rsidR="00FE42E4" w:rsidRPr="00FE42E4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حساب </w:t>
      </w:r>
      <w:r w:rsidR="00FE42E4" w:rsidRPr="00FE42E4">
        <w:rPr>
          <w:rFonts w:ascii="Arial" w:hAnsi="Arial" w:cs="Arial"/>
          <w:b/>
          <w:bCs/>
          <w:sz w:val="28"/>
          <w:szCs w:val="28"/>
          <w:u w:val="single"/>
        </w:rPr>
        <w:t>IBS</w:t>
      </w:r>
      <w:r w:rsidR="00FE42E4" w:rsidRPr="00FE42E4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FE42E4" w:rsidRDefault="00FE42E4" w:rsidP="00FE42E4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</w:p>
    <w:p w:rsidR="00FE42E4" w:rsidRDefault="00FE42E4" w:rsidP="00FE42E4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</w:p>
    <w:p w:rsidR="00FE42E4" w:rsidRDefault="0099011C" w:rsidP="00FE42E4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rect id="_x0000_s1027" style="position:absolute;left:0;text-align:left;margin-left:81pt;margin-top:25pt;width:333pt;height:27pt;z-index:251659264">
            <v:textbox>
              <w:txbxContent>
                <w:p w:rsidR="00FE42E4" w:rsidRPr="00FE42E4" w:rsidRDefault="00FE42E4" w:rsidP="00FE42E4">
                  <w:pPr>
                    <w:bidi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FE42E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الربح الجبائي = الربح المحاسبي + الإستردادات </w:t>
                  </w:r>
                  <w:r w:rsidRPr="00FE42E4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–</w:t>
                  </w:r>
                  <w:r w:rsidRPr="00FE42E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التخفيضات</w:t>
                  </w:r>
                </w:p>
              </w:txbxContent>
            </v:textbox>
          </v:rect>
        </w:pict>
      </w:r>
      <w:r w:rsidR="00FE42E4">
        <w:rPr>
          <w:rFonts w:ascii="Arial" w:hAnsi="Arial" w:cs="Arial" w:hint="cs"/>
          <w:sz w:val="28"/>
          <w:szCs w:val="28"/>
          <w:rtl/>
        </w:rPr>
        <w:t>حيث:</w:t>
      </w:r>
    </w:p>
    <w:p w:rsidR="00FE42E4" w:rsidRDefault="00FE42E4" w:rsidP="00FE42E4">
      <w:pPr>
        <w:bidi/>
        <w:spacing w:before="120" w:after="12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FE42E4" w:rsidRDefault="00FE42E4" w:rsidP="00FE42E4">
      <w:pPr>
        <w:bidi/>
        <w:spacing w:before="120" w:after="12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 </w:t>
      </w:r>
      <w:r w:rsidRPr="00FE42E4">
        <w:rPr>
          <w:rFonts w:ascii="Arial" w:hAnsi="Arial" w:cs="Arial" w:hint="cs"/>
          <w:sz w:val="28"/>
          <w:szCs w:val="28"/>
          <w:rtl/>
        </w:rPr>
        <w:t xml:space="preserve">حتى تكون </w:t>
      </w:r>
      <w:r>
        <w:rPr>
          <w:rFonts w:ascii="Arial" w:hAnsi="Arial" w:cs="Arial" w:hint="cs"/>
          <w:sz w:val="28"/>
          <w:szCs w:val="28"/>
          <w:rtl/>
        </w:rPr>
        <w:t>الأعباء قابلة للخصم يجب:</w:t>
      </w:r>
    </w:p>
    <w:p w:rsidR="00614B12" w:rsidRDefault="00614B12" w:rsidP="00FE42E4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أن تكون مبررة بالمستندات الثبوتية؛</w:t>
      </w:r>
    </w:p>
    <w:p w:rsidR="00FE42E4" w:rsidRDefault="00FE42E4" w:rsidP="00614B12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متعلقة </w:t>
      </w:r>
      <w:r w:rsidR="00614B12">
        <w:rPr>
          <w:rFonts w:ascii="Arial" w:hAnsi="Arial" w:cs="Arial" w:hint="cs"/>
          <w:sz w:val="28"/>
          <w:szCs w:val="28"/>
          <w:rtl/>
        </w:rPr>
        <w:t>بنفس سنة النشاط ( أن يُصرف العبء في المصلحة المباشرة للاستغلال)؛</w:t>
      </w:r>
    </w:p>
    <w:p w:rsidR="00614B12" w:rsidRDefault="00614B12" w:rsidP="00614B12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أن يؤدي العبء إلى انخفاض صافي الأصول؛</w:t>
      </w:r>
    </w:p>
    <w:p w:rsidR="00614B12" w:rsidRDefault="00614B12" w:rsidP="00614B12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أن يُقيد العبء محاسبيا ويُدرج في نتيجة السنة المالية.</w:t>
      </w:r>
    </w:p>
    <w:p w:rsidR="00614B12" w:rsidRDefault="00614B12" w:rsidP="00614B12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 w:rsidRPr="00614B12">
        <w:rPr>
          <w:rFonts w:ascii="Arial" w:hAnsi="Arial" w:cs="Arial" w:hint="cs"/>
          <w:b/>
          <w:bCs/>
          <w:sz w:val="28"/>
          <w:szCs w:val="28"/>
          <w:u w:val="single"/>
          <w:rtl/>
        </w:rPr>
        <w:t>ملاحظة:</w:t>
      </w:r>
      <w:r>
        <w:rPr>
          <w:rFonts w:ascii="Arial" w:hAnsi="Arial" w:cs="Arial" w:hint="cs"/>
          <w:sz w:val="28"/>
          <w:szCs w:val="28"/>
          <w:rtl/>
        </w:rPr>
        <w:t xml:space="preserve"> الاستردادات = أعباء غير قابلة للخصم</w:t>
      </w:r>
    </w:p>
    <w:p w:rsidR="00614B12" w:rsidRDefault="00614B12" w:rsidP="00614B12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حسب المادة </w:t>
      </w:r>
      <w:r w:rsidR="00CA13AA">
        <w:rPr>
          <w:rFonts w:ascii="Arial" w:hAnsi="Arial" w:cs="Arial" w:hint="cs"/>
          <w:sz w:val="28"/>
          <w:szCs w:val="28"/>
          <w:rtl/>
        </w:rPr>
        <w:t>169 من (ق. ض. م و الرسوم المماثلة) تُحدد حدود الخصم كما يلي:</w:t>
      </w:r>
    </w:p>
    <w:p w:rsidR="00CA13AA" w:rsidRDefault="00CA13AA" w:rsidP="00CA13AA">
      <w:pPr>
        <w:pStyle w:val="Paragraphedeliste"/>
        <w:numPr>
          <w:ilvl w:val="0"/>
          <w:numId w:val="4"/>
        </w:numPr>
        <w:bidi/>
        <w:spacing w:before="120" w:after="120" w:line="36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الهدايا ذات الطابع الاشهاري: 1000 دج للواحدة في حدود مبلغ اجمالي بقيمة 500000دج؛</w:t>
      </w:r>
    </w:p>
    <w:p w:rsidR="00CA13AA" w:rsidRDefault="00CA13AA" w:rsidP="00CA13AA">
      <w:pPr>
        <w:pStyle w:val="Paragraphedeliste"/>
        <w:numPr>
          <w:ilvl w:val="0"/>
          <w:numId w:val="4"/>
        </w:numPr>
        <w:bidi/>
        <w:spacing w:before="120" w:after="120" w:line="360" w:lineRule="auto"/>
        <w:ind w:left="4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الهبات و التبرعات التي لا يتجاوز مبلغها 4000000 دج سنويا؛</w:t>
      </w:r>
    </w:p>
    <w:p w:rsidR="00906BB8" w:rsidRDefault="00CA13AA" w:rsidP="00297D04">
      <w:pPr>
        <w:pStyle w:val="Paragraphedeliste"/>
        <w:numPr>
          <w:ilvl w:val="0"/>
          <w:numId w:val="4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 w:rsidRPr="00906BB8">
        <w:rPr>
          <w:rFonts w:ascii="Arial" w:hAnsi="Arial" w:cs="Arial" w:hint="cs"/>
          <w:sz w:val="28"/>
          <w:szCs w:val="28"/>
          <w:rtl/>
        </w:rPr>
        <w:t xml:space="preserve">الكفالة و الرعاية الرياضية: 10 </w:t>
      </w:r>
      <w:r w:rsidRPr="00906BB8">
        <w:rPr>
          <w:rFonts w:ascii="Arial" w:hAnsi="Arial" w:cs="Arial"/>
          <w:sz w:val="28"/>
          <w:szCs w:val="28"/>
        </w:rPr>
        <w:t>%</w:t>
      </w:r>
      <w:r w:rsidRPr="00906BB8">
        <w:rPr>
          <w:rFonts w:ascii="Arial" w:hAnsi="Arial" w:cs="Arial" w:hint="cs"/>
          <w:sz w:val="28"/>
          <w:szCs w:val="28"/>
          <w:rtl/>
        </w:rPr>
        <w:t xml:space="preserve"> من رقم الأعمال و الحد الأقصى 30000000 دج. </w:t>
      </w:r>
    </w:p>
    <w:p w:rsidR="00CA13AA" w:rsidRPr="00906BB8" w:rsidRDefault="0071355F" w:rsidP="00906BB8">
      <w:pPr>
        <w:pStyle w:val="Paragraphedeliste"/>
        <w:numPr>
          <w:ilvl w:val="0"/>
          <w:numId w:val="4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 w:rsidRPr="00906BB8">
        <w:rPr>
          <w:rFonts w:ascii="Arial" w:hAnsi="Arial" w:cs="Arial" w:hint="cs"/>
          <w:sz w:val="28"/>
          <w:szCs w:val="28"/>
          <w:rtl/>
        </w:rPr>
        <w:t>فيما يخص التخفيضات فتتمثل في خسائر السنوات السابقة إلى غاية السنة الرابعة.</w:t>
      </w:r>
    </w:p>
    <w:p w:rsidR="0071355F" w:rsidRDefault="0071355F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71355F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المعدلات</w:t>
      </w:r>
      <w:r w:rsidRPr="0071355F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71355F" w:rsidRDefault="00B77214" w:rsidP="00E81F69">
      <w:pPr>
        <w:pStyle w:val="Paragraphedeliste"/>
        <w:numPr>
          <w:ilvl w:val="0"/>
          <w:numId w:val="6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19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بالنسبة لأنشطة إنتاج السلع. و يُطبق معدل إضافي يُقدر ب 10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على شركات إنتاج التبغ علاوة على المعدل العادي 19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B77214" w:rsidRDefault="007B11B6" w:rsidP="00E81F69">
      <w:pPr>
        <w:pStyle w:val="Paragraphedeliste"/>
        <w:numPr>
          <w:ilvl w:val="0"/>
          <w:numId w:val="6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23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بالنسبة لأنشطة البناء و الأشغال العمومية و الري وكذا الأنشطة السياحية و الحمامات باستثناء وكالات الأسفار؛</w:t>
      </w:r>
    </w:p>
    <w:p w:rsidR="007B11B6" w:rsidRDefault="007B11B6" w:rsidP="00E81F69">
      <w:pPr>
        <w:pStyle w:val="Paragraphedeliste"/>
        <w:numPr>
          <w:ilvl w:val="0"/>
          <w:numId w:val="6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26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بالنسبة للأنشطة الأخرى.</w:t>
      </w:r>
    </w:p>
    <w:p w:rsidR="007B11B6" w:rsidRDefault="007B11B6" w:rsidP="00E81F69">
      <w:pPr>
        <w:bidi/>
        <w:spacing w:before="120" w:after="120" w:line="360" w:lineRule="auto"/>
        <w:ind w:left="72" w:firstLine="36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 بحسب المادة 150 من ق. ض. م و الرسوم المماثلة تُحدد معدلات الاقتطاع من المصدر كما يلي: </w:t>
      </w:r>
    </w:p>
    <w:p w:rsidR="007B11B6" w:rsidRDefault="007B11B6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10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مداخيل الديون، الودائع و الكفالات؛</w:t>
      </w:r>
    </w:p>
    <w:p w:rsidR="007B11B6" w:rsidRDefault="007B11B6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40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مداخيل سندات الصندوق غير الاسمية أو لحاملها؛</w:t>
      </w:r>
    </w:p>
    <w:p w:rsidR="007B11B6" w:rsidRDefault="007B11B6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20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المبالغ التي تتقاضاها المؤسسات في إطار عقد التسيير؛</w:t>
      </w:r>
    </w:p>
    <w:p w:rsidR="007B11B6" w:rsidRDefault="007B11B6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30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المبالغ المدفوعة للمؤسسات الأجنبية في إطار تأدية الخدمات؛</w:t>
      </w:r>
    </w:p>
    <w:p w:rsidR="007B11B6" w:rsidRDefault="007B11B6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10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>المبالغ المدفوعة لشركات النقل البحري الأجنبية؛</w:t>
      </w:r>
    </w:p>
    <w:p w:rsidR="007B11B6" w:rsidRDefault="007B11B6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15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عائدات الأسهم </w:t>
      </w:r>
      <w:r w:rsidR="00901B00">
        <w:rPr>
          <w:rFonts w:ascii="Arial" w:hAnsi="Arial" w:cs="Arial" w:hint="cs"/>
          <w:sz w:val="28"/>
          <w:szCs w:val="28"/>
          <w:rtl/>
        </w:rPr>
        <w:t>أو الحصص الاجتماعية المحققة من طرف الأشخاص المعنويين الذين لا يملكون منشأة دائمة بالجزائر؛</w:t>
      </w:r>
    </w:p>
    <w:p w:rsidR="00901B00" w:rsidRDefault="00901B00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5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بالنسبة للمداخيل المُتأتية من توزيع الأرباح؛</w:t>
      </w:r>
    </w:p>
    <w:p w:rsidR="00901B00" w:rsidRDefault="00901B00" w:rsidP="00E81F69">
      <w:pPr>
        <w:pStyle w:val="Paragraphedeliste"/>
        <w:numPr>
          <w:ilvl w:val="0"/>
          <w:numId w:val="7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>20</w:t>
      </w:r>
      <w:r w:rsidRPr="00B77214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فوائض القيمة الناتجة عن التنازل عن الأسهم أو الحصص الاجتماعية أو الأوراق المماثلة المحققة.</w:t>
      </w:r>
    </w:p>
    <w:p w:rsidR="00901B00" w:rsidRDefault="00901B00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r w:rsidRPr="00901B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التصريحات الخاصة </w:t>
      </w:r>
      <w:r w:rsidRPr="00FE42E4">
        <w:rPr>
          <w:rFonts w:ascii="Arial" w:hAnsi="Arial" w:cs="Arial"/>
          <w:b/>
          <w:bCs/>
          <w:sz w:val="28"/>
          <w:szCs w:val="28"/>
          <w:u w:val="single"/>
        </w:rPr>
        <w:t>IBS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</w:p>
    <w:p w:rsidR="00901B00" w:rsidRDefault="00901B00" w:rsidP="00E81F69">
      <w:pPr>
        <w:pStyle w:val="Paragraphedeliste"/>
        <w:numPr>
          <w:ilvl w:val="0"/>
          <w:numId w:val="8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التصريح الشهري </w:t>
      </w:r>
      <w:r>
        <w:rPr>
          <w:rFonts w:ascii="Arial" w:hAnsi="Arial" w:cs="Arial"/>
          <w:sz w:val="28"/>
          <w:szCs w:val="28"/>
        </w:rPr>
        <w:t>G50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901B00" w:rsidRDefault="00901B00" w:rsidP="00E81F69">
      <w:pPr>
        <w:pStyle w:val="Paragraphedeliste"/>
        <w:numPr>
          <w:ilvl w:val="0"/>
          <w:numId w:val="8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التصريح السنوي للأرباح </w:t>
      </w:r>
      <w:r>
        <w:rPr>
          <w:rFonts w:ascii="Arial" w:hAnsi="Arial" w:cs="Arial"/>
          <w:sz w:val="28"/>
          <w:szCs w:val="28"/>
        </w:rPr>
        <w:t>Liasse fiscale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901B00" w:rsidRDefault="00901B00" w:rsidP="00E81F69">
      <w:pPr>
        <w:pStyle w:val="Paragraphedeliste"/>
        <w:numPr>
          <w:ilvl w:val="0"/>
          <w:numId w:val="8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التصريح السنوي </w:t>
      </w:r>
      <w:r>
        <w:rPr>
          <w:rFonts w:ascii="Arial" w:hAnsi="Arial" w:cs="Arial"/>
          <w:sz w:val="28"/>
          <w:szCs w:val="28"/>
        </w:rPr>
        <w:t>G04</w:t>
      </w:r>
      <w:r>
        <w:rPr>
          <w:rFonts w:ascii="Arial" w:hAnsi="Arial" w:cs="Arial" w:hint="cs"/>
          <w:sz w:val="28"/>
          <w:szCs w:val="28"/>
          <w:rtl/>
        </w:rPr>
        <w:t>؛</w:t>
      </w:r>
    </w:p>
    <w:p w:rsidR="00901B00" w:rsidRDefault="00901B00" w:rsidP="00901B00">
      <w:pPr>
        <w:bidi/>
        <w:spacing w:before="120" w:after="120" w:line="360" w:lineRule="auto"/>
        <w:ind w:left="72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1B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دفع </w:t>
      </w:r>
      <w:r w:rsidRPr="00901B00">
        <w:rPr>
          <w:rFonts w:ascii="Arial" w:hAnsi="Arial" w:cs="Arial"/>
          <w:b/>
          <w:bCs/>
          <w:sz w:val="28"/>
          <w:szCs w:val="28"/>
          <w:u w:val="single"/>
        </w:rPr>
        <w:t>IBS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</w:p>
    <w:p w:rsidR="00922443" w:rsidRDefault="00922443" w:rsidP="00922443">
      <w:pPr>
        <w:bidi/>
        <w:spacing w:before="120" w:after="120" w:line="360" w:lineRule="auto"/>
        <w:ind w:left="72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922443">
        <w:rPr>
          <w:rFonts w:ascii="Arial" w:hAnsi="Arial" w:cs="Arial" w:hint="cs"/>
          <w:b/>
          <w:bCs/>
          <w:sz w:val="28"/>
          <w:szCs w:val="28"/>
          <w:rtl/>
        </w:rPr>
        <w:t xml:space="preserve">القسط = قيمة الضريبة </w:t>
      </w:r>
      <w:r w:rsidRPr="00922443">
        <w:rPr>
          <w:rFonts w:ascii="Arial" w:hAnsi="Arial" w:cs="Arial"/>
          <w:b/>
          <w:bCs/>
          <w:sz w:val="28"/>
          <w:szCs w:val="28"/>
        </w:rPr>
        <w:t>IBS</w:t>
      </w:r>
      <w:r w:rsidRPr="00922443">
        <w:rPr>
          <w:rFonts w:ascii="Arial" w:hAnsi="Arial" w:cs="Arial" w:hint="cs"/>
          <w:b/>
          <w:bCs/>
          <w:sz w:val="28"/>
          <w:szCs w:val="28"/>
          <w:rtl/>
        </w:rPr>
        <w:t xml:space="preserve"> للسنة السابقة </w:t>
      </w:r>
      <w:r w:rsidRPr="00922443">
        <w:rPr>
          <w:rFonts w:ascii="Arial" w:hAnsi="Arial" w:cs="Arial"/>
          <w:b/>
          <w:bCs/>
          <w:sz w:val="28"/>
          <w:szCs w:val="28"/>
          <w:lang w:val="en-US"/>
        </w:rPr>
        <w:t xml:space="preserve">x </w:t>
      </w:r>
      <w:r w:rsidRPr="00922443">
        <w:rPr>
          <w:rFonts w:ascii="Arial" w:hAnsi="Arial" w:cs="Arial" w:hint="cs"/>
          <w:b/>
          <w:bCs/>
          <w:sz w:val="28"/>
          <w:szCs w:val="28"/>
          <w:rtl/>
          <w:lang w:val="en-US"/>
        </w:rPr>
        <w:t xml:space="preserve"> 30</w:t>
      </w:r>
      <w:r w:rsidRPr="00922443">
        <w:rPr>
          <w:rFonts w:ascii="Arial" w:hAnsi="Arial" w:cs="Arial"/>
          <w:b/>
          <w:bCs/>
          <w:sz w:val="28"/>
          <w:szCs w:val="28"/>
        </w:rPr>
        <w:t>%</w:t>
      </w:r>
    </w:p>
    <w:tbl>
      <w:tblPr>
        <w:tblStyle w:val="Grilledutableau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962"/>
        <w:gridCol w:w="3071"/>
        <w:gridCol w:w="2967"/>
      </w:tblGrid>
      <w:tr w:rsidR="00922443" w:rsidTr="00922443">
        <w:tc>
          <w:tcPr>
            <w:tcW w:w="2962" w:type="dxa"/>
          </w:tcPr>
          <w:p w:rsidR="00922443" w:rsidRDefault="00922443" w:rsidP="00074BBA">
            <w:pPr>
              <w:bidi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>الأقساط</w:t>
            </w:r>
          </w:p>
        </w:tc>
        <w:tc>
          <w:tcPr>
            <w:tcW w:w="3071" w:type="dxa"/>
          </w:tcPr>
          <w:p w:rsidR="00922443" w:rsidRDefault="00922443" w:rsidP="00074BBA">
            <w:pPr>
              <w:bidi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>تاريخ الدفع</w:t>
            </w:r>
          </w:p>
        </w:tc>
        <w:tc>
          <w:tcPr>
            <w:tcW w:w="2967" w:type="dxa"/>
          </w:tcPr>
          <w:p w:rsidR="00922443" w:rsidRDefault="00922443" w:rsidP="00074BBA">
            <w:pPr>
              <w:bidi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>أساس حساب القسط</w:t>
            </w:r>
          </w:p>
        </w:tc>
      </w:tr>
      <w:tr w:rsidR="00922443" w:rsidTr="00922443">
        <w:tc>
          <w:tcPr>
            <w:tcW w:w="2962" w:type="dxa"/>
          </w:tcPr>
          <w:p w:rsidR="00922443" w:rsidRDefault="00922443" w:rsidP="00074BBA">
            <w:pPr>
              <w:bidi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>القسط الأول</w:t>
            </w:r>
          </w:p>
        </w:tc>
        <w:tc>
          <w:tcPr>
            <w:tcW w:w="3071" w:type="dxa"/>
          </w:tcPr>
          <w:p w:rsidR="00922443" w:rsidRPr="00922443" w:rsidRDefault="00922443" w:rsidP="00922443">
            <w:pPr>
              <w:bidi/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val="en-US"/>
              </w:rPr>
              <w:t>20 فيفري إلى 20 مارس</w:t>
            </w:r>
          </w:p>
        </w:tc>
        <w:tc>
          <w:tcPr>
            <w:tcW w:w="2967" w:type="dxa"/>
          </w:tcPr>
          <w:p w:rsidR="00922443" w:rsidRPr="00074BBA" w:rsidRDefault="00922443" w:rsidP="00074BBA">
            <w:pPr>
              <w:bidi/>
              <w:spacing w:before="120" w:after="12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74BBA">
              <w:rPr>
                <w:rFonts w:ascii="Arial" w:hAnsi="Arial" w:cs="Arial" w:hint="cs"/>
                <w:sz w:val="28"/>
                <w:szCs w:val="28"/>
                <w:rtl/>
                <w:lang w:val="en-US"/>
              </w:rPr>
              <w:t>30</w:t>
            </w:r>
            <w:r w:rsidR="00074BBA" w:rsidRPr="00074BBA">
              <w:rPr>
                <w:rFonts w:ascii="Arial" w:hAnsi="Arial" w:cs="Arial"/>
                <w:sz w:val="28"/>
                <w:szCs w:val="28"/>
              </w:rPr>
              <w:t>%</w:t>
            </w:r>
            <w:r w:rsidR="00074BBA" w:rsidRPr="00074BBA">
              <w:rPr>
                <w:rFonts w:ascii="Arial" w:hAnsi="Arial" w:cs="Arial" w:hint="cs"/>
                <w:sz w:val="28"/>
                <w:szCs w:val="28"/>
                <w:rtl/>
              </w:rPr>
              <w:t xml:space="preserve"> من ضريبة السنة </w:t>
            </w:r>
            <w:r w:rsidR="00074BBA" w:rsidRPr="00074BBA">
              <w:rPr>
                <w:rFonts w:ascii="Arial" w:hAnsi="Arial" w:cs="Arial"/>
                <w:sz w:val="28"/>
                <w:szCs w:val="28"/>
              </w:rPr>
              <w:t xml:space="preserve">   (N-2) </w:t>
            </w:r>
          </w:p>
        </w:tc>
      </w:tr>
      <w:tr w:rsidR="00922443" w:rsidTr="00922443">
        <w:tc>
          <w:tcPr>
            <w:tcW w:w="2962" w:type="dxa"/>
          </w:tcPr>
          <w:p w:rsidR="00922443" w:rsidRDefault="00922443" w:rsidP="00074BBA">
            <w:pPr>
              <w:bidi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>القسط الثاني</w:t>
            </w:r>
          </w:p>
        </w:tc>
        <w:tc>
          <w:tcPr>
            <w:tcW w:w="3071" w:type="dxa"/>
          </w:tcPr>
          <w:p w:rsidR="00922443" w:rsidRPr="00074BBA" w:rsidRDefault="00922443" w:rsidP="00922443">
            <w:pPr>
              <w:bidi/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/>
              </w:rPr>
            </w:pPr>
            <w:r w:rsidRPr="00074BBA">
              <w:rPr>
                <w:rFonts w:ascii="Arial" w:hAnsi="Arial" w:cs="Arial" w:hint="cs"/>
                <w:sz w:val="28"/>
                <w:szCs w:val="28"/>
                <w:rtl/>
                <w:lang w:val="en-US"/>
              </w:rPr>
              <w:t xml:space="preserve">20 ماي إلى 20 جوان </w:t>
            </w:r>
          </w:p>
        </w:tc>
        <w:tc>
          <w:tcPr>
            <w:tcW w:w="2967" w:type="dxa"/>
          </w:tcPr>
          <w:p w:rsidR="00922443" w:rsidRDefault="00074BBA" w:rsidP="00074BBA">
            <w:pPr>
              <w:bidi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074BBA">
              <w:rPr>
                <w:rFonts w:ascii="Arial" w:hAnsi="Arial" w:cs="Arial" w:hint="cs"/>
                <w:sz w:val="28"/>
                <w:szCs w:val="28"/>
                <w:rtl/>
                <w:lang w:val="en-US"/>
              </w:rPr>
              <w:t>30</w:t>
            </w:r>
            <w:r w:rsidRPr="00074BBA">
              <w:rPr>
                <w:rFonts w:ascii="Arial" w:hAnsi="Arial" w:cs="Arial"/>
                <w:sz w:val="28"/>
                <w:szCs w:val="28"/>
              </w:rPr>
              <w:t>%</w:t>
            </w:r>
            <w:r w:rsidRPr="00074BBA">
              <w:rPr>
                <w:rFonts w:ascii="Arial" w:hAnsi="Arial" w:cs="Arial" w:hint="cs"/>
                <w:sz w:val="28"/>
                <w:szCs w:val="28"/>
                <w:rtl/>
              </w:rPr>
              <w:t xml:space="preserve"> من ضريبة السنة </w:t>
            </w:r>
            <w:r w:rsidRPr="00074BBA">
              <w:rPr>
                <w:rFonts w:ascii="Arial" w:hAnsi="Arial" w:cs="Arial"/>
                <w:sz w:val="28"/>
                <w:szCs w:val="28"/>
              </w:rPr>
              <w:t xml:space="preserve">   (N-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074BBA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922443" w:rsidTr="00922443">
        <w:tc>
          <w:tcPr>
            <w:tcW w:w="2962" w:type="dxa"/>
          </w:tcPr>
          <w:p w:rsidR="00922443" w:rsidRDefault="00922443" w:rsidP="00074BBA">
            <w:pPr>
              <w:bidi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>القسط الثالث</w:t>
            </w:r>
          </w:p>
        </w:tc>
        <w:tc>
          <w:tcPr>
            <w:tcW w:w="3071" w:type="dxa"/>
          </w:tcPr>
          <w:p w:rsidR="00922443" w:rsidRPr="00074BBA" w:rsidRDefault="00922443" w:rsidP="00922443">
            <w:pPr>
              <w:bidi/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/>
              </w:rPr>
            </w:pPr>
            <w:r w:rsidRPr="00074BBA">
              <w:rPr>
                <w:rFonts w:ascii="Arial" w:hAnsi="Arial" w:cs="Arial" w:hint="cs"/>
                <w:sz w:val="28"/>
                <w:szCs w:val="28"/>
                <w:rtl/>
                <w:lang w:val="en-US"/>
              </w:rPr>
              <w:t xml:space="preserve">20 أكتوبر إلى 20 نوفمبر </w:t>
            </w:r>
          </w:p>
        </w:tc>
        <w:tc>
          <w:tcPr>
            <w:tcW w:w="2967" w:type="dxa"/>
          </w:tcPr>
          <w:p w:rsidR="00922443" w:rsidRDefault="00074BBA" w:rsidP="00074BBA">
            <w:pPr>
              <w:bidi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074BBA">
              <w:rPr>
                <w:rFonts w:ascii="Arial" w:hAnsi="Arial" w:cs="Arial" w:hint="cs"/>
                <w:sz w:val="28"/>
                <w:szCs w:val="28"/>
                <w:rtl/>
                <w:lang w:val="en-US"/>
              </w:rPr>
              <w:t>30</w:t>
            </w:r>
            <w:r w:rsidRPr="00074BBA">
              <w:rPr>
                <w:rFonts w:ascii="Arial" w:hAnsi="Arial" w:cs="Arial"/>
                <w:sz w:val="28"/>
                <w:szCs w:val="28"/>
              </w:rPr>
              <w:t>%</w:t>
            </w:r>
            <w:r w:rsidRPr="00074BBA">
              <w:rPr>
                <w:rFonts w:ascii="Arial" w:hAnsi="Arial" w:cs="Arial" w:hint="cs"/>
                <w:sz w:val="28"/>
                <w:szCs w:val="28"/>
                <w:rtl/>
              </w:rPr>
              <w:t xml:space="preserve"> من ضريبة السنة </w:t>
            </w:r>
            <w:r w:rsidRPr="00074BBA">
              <w:rPr>
                <w:rFonts w:ascii="Arial" w:hAnsi="Arial" w:cs="Arial"/>
                <w:sz w:val="28"/>
                <w:szCs w:val="28"/>
              </w:rPr>
              <w:t xml:space="preserve">   (N-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074BBA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1460F0" w:rsidRDefault="00074BBA" w:rsidP="001460F0">
      <w:pPr>
        <w:bidi/>
        <w:spacing w:before="240" w:after="120" w:line="360" w:lineRule="auto"/>
        <w:ind w:left="74"/>
        <w:jc w:val="both"/>
        <w:rPr>
          <w:rFonts w:ascii="Arial" w:hAnsi="Arial" w:cs="Arial"/>
          <w:sz w:val="28"/>
          <w:szCs w:val="28"/>
          <w:rtl/>
          <w:lang w:val="en-US"/>
        </w:rPr>
      </w:pPr>
      <w:r w:rsidRPr="00074BBA">
        <w:rPr>
          <w:rFonts w:ascii="Arial" w:hAnsi="Arial" w:cs="Arial" w:hint="cs"/>
          <w:b/>
          <w:bCs/>
          <w:sz w:val="28"/>
          <w:szCs w:val="28"/>
          <w:u w:val="single"/>
          <w:rtl/>
          <w:lang w:val="en-US"/>
        </w:rPr>
        <w:t>ملاحظة</w:t>
      </w:r>
      <w:r>
        <w:rPr>
          <w:rFonts w:ascii="Arial" w:hAnsi="Arial" w:cs="Arial" w:hint="cs"/>
          <w:b/>
          <w:bCs/>
          <w:sz w:val="28"/>
          <w:szCs w:val="28"/>
          <w:rtl/>
          <w:lang w:val="en-US"/>
        </w:rPr>
        <w:t>:</w:t>
      </w:r>
      <w:r w:rsidR="001460F0">
        <w:rPr>
          <w:rFonts w:ascii="Arial" w:hAnsi="Arial" w:cs="Arial" w:hint="cs"/>
          <w:b/>
          <w:bCs/>
          <w:sz w:val="28"/>
          <w:szCs w:val="28"/>
          <w:rtl/>
          <w:lang w:val="en-US"/>
        </w:rPr>
        <w:t xml:space="preserve"> </w:t>
      </w:r>
      <w:r w:rsidR="001460F0">
        <w:rPr>
          <w:rFonts w:ascii="Arial" w:hAnsi="Arial" w:cs="Arial" w:hint="cs"/>
          <w:sz w:val="28"/>
          <w:szCs w:val="28"/>
          <w:rtl/>
          <w:lang w:val="en-US"/>
        </w:rPr>
        <w:t>بالنسبة لقسط التسوية:</w:t>
      </w:r>
    </w:p>
    <w:p w:rsidR="00906BB8" w:rsidRPr="00906BB8" w:rsidRDefault="001460F0" w:rsidP="00161DBF">
      <w:pPr>
        <w:pStyle w:val="Paragraphedeliste"/>
        <w:numPr>
          <w:ilvl w:val="0"/>
          <w:numId w:val="9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906BB8">
        <w:rPr>
          <w:rFonts w:ascii="Arial" w:hAnsi="Arial" w:cs="Arial" w:hint="cs"/>
          <w:sz w:val="28"/>
          <w:szCs w:val="28"/>
          <w:rtl/>
          <w:lang w:val="en-US"/>
        </w:rPr>
        <w:t xml:space="preserve">قسط التسوية = مبلغ </w:t>
      </w:r>
      <w:r w:rsidRPr="00906BB8">
        <w:rPr>
          <w:rFonts w:ascii="Arial" w:hAnsi="Arial" w:cs="Arial"/>
          <w:sz w:val="28"/>
          <w:szCs w:val="28"/>
        </w:rPr>
        <w:t>IBS</w:t>
      </w:r>
      <w:r w:rsidRPr="00906BB8">
        <w:rPr>
          <w:rFonts w:ascii="Arial" w:hAnsi="Arial" w:cs="Arial" w:hint="cs"/>
          <w:sz w:val="28"/>
          <w:szCs w:val="28"/>
          <w:rtl/>
          <w:lang w:val="en-US"/>
        </w:rPr>
        <w:t xml:space="preserve"> </w:t>
      </w:r>
      <w:r w:rsidRPr="00906BB8">
        <w:rPr>
          <w:rFonts w:ascii="Arial" w:hAnsi="Arial" w:cs="Arial"/>
          <w:sz w:val="28"/>
          <w:szCs w:val="28"/>
        </w:rPr>
        <w:t>–</w:t>
      </w:r>
      <w:r w:rsidRPr="00906BB8">
        <w:rPr>
          <w:rFonts w:ascii="Arial" w:hAnsi="Arial" w:cs="Arial" w:hint="cs"/>
          <w:sz w:val="28"/>
          <w:szCs w:val="28"/>
          <w:rtl/>
        </w:rPr>
        <w:t xml:space="preserve"> مجموع الأقساط المدفوعة. وبالنسبة لتاريخ الدفع هو 20 أفريل كأقصى حد للسنة المقبلة. </w:t>
      </w:r>
    </w:p>
    <w:p w:rsidR="001460F0" w:rsidRPr="00906BB8" w:rsidRDefault="00B102C9" w:rsidP="00906BB8">
      <w:pPr>
        <w:pStyle w:val="Paragraphedeliste"/>
        <w:numPr>
          <w:ilvl w:val="0"/>
          <w:numId w:val="9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906BB8">
        <w:rPr>
          <w:rFonts w:ascii="Arial" w:hAnsi="Arial" w:cs="Arial" w:hint="cs"/>
          <w:sz w:val="28"/>
          <w:szCs w:val="28"/>
          <w:rtl/>
        </w:rPr>
        <w:t xml:space="preserve">في المؤسسة المنشأة حديثا، قسط </w:t>
      </w:r>
      <w:r w:rsidRPr="00906BB8">
        <w:rPr>
          <w:rFonts w:ascii="Arial" w:hAnsi="Arial" w:cs="Arial"/>
          <w:sz w:val="28"/>
          <w:szCs w:val="28"/>
        </w:rPr>
        <w:t>IBS</w:t>
      </w:r>
      <w:r w:rsidRPr="00906BB8">
        <w:rPr>
          <w:rFonts w:ascii="Arial" w:hAnsi="Arial" w:cs="Arial" w:hint="cs"/>
          <w:sz w:val="28"/>
          <w:szCs w:val="28"/>
          <w:rtl/>
        </w:rPr>
        <w:t xml:space="preserve"> يُساوي 30</w:t>
      </w:r>
      <w:r w:rsidRPr="00906BB8">
        <w:rPr>
          <w:rFonts w:ascii="Arial" w:hAnsi="Arial" w:cs="Arial"/>
          <w:sz w:val="28"/>
          <w:szCs w:val="28"/>
        </w:rPr>
        <w:t>%</w:t>
      </w:r>
      <w:r w:rsidRPr="00906BB8">
        <w:rPr>
          <w:rFonts w:ascii="Arial" w:hAnsi="Arial" w:cs="Arial" w:hint="cs"/>
          <w:sz w:val="28"/>
          <w:szCs w:val="28"/>
          <w:rtl/>
        </w:rPr>
        <w:t xml:space="preserve"> من الضريبة المحسوبة على الحاصل المُقدر ب 5</w:t>
      </w:r>
      <w:r w:rsidRPr="00906BB8">
        <w:rPr>
          <w:rFonts w:ascii="Arial" w:hAnsi="Arial" w:cs="Arial"/>
          <w:sz w:val="28"/>
          <w:szCs w:val="28"/>
        </w:rPr>
        <w:t>%</w:t>
      </w:r>
      <w:r w:rsidRPr="00906BB8">
        <w:rPr>
          <w:rFonts w:ascii="Arial" w:hAnsi="Arial" w:cs="Arial" w:hint="cs"/>
          <w:sz w:val="28"/>
          <w:szCs w:val="28"/>
          <w:rtl/>
        </w:rPr>
        <w:t xml:space="preserve"> من رأس المال.</w:t>
      </w:r>
    </w:p>
    <w:p w:rsidR="00E81F69" w:rsidRPr="00B102C9" w:rsidRDefault="00E81F69" w:rsidP="00E81F69">
      <w:pPr>
        <w:pStyle w:val="Paragraphedeliste"/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</w:p>
    <w:p w:rsidR="00B102C9" w:rsidRDefault="00B102C9" w:rsidP="00E81F69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  <w:lang w:val="en-US"/>
        </w:rPr>
      </w:pPr>
      <w:r w:rsidRPr="00B102C9">
        <w:rPr>
          <w:rFonts w:ascii="Arial" w:hAnsi="Arial" w:cs="Arial" w:hint="cs"/>
          <w:b/>
          <w:bCs/>
          <w:sz w:val="28"/>
          <w:szCs w:val="28"/>
          <w:u w:val="single"/>
          <w:rtl/>
          <w:lang w:val="en-US"/>
        </w:rPr>
        <w:t>العقوبات و الغرامات</w:t>
      </w:r>
      <w:r>
        <w:rPr>
          <w:rFonts w:ascii="Arial" w:hAnsi="Arial" w:cs="Arial" w:hint="cs"/>
          <w:sz w:val="28"/>
          <w:szCs w:val="28"/>
          <w:rtl/>
          <w:lang w:val="en-US"/>
        </w:rPr>
        <w:t>:</w:t>
      </w:r>
    </w:p>
    <w:p w:rsidR="00B557B2" w:rsidRPr="00E60979" w:rsidRDefault="00B557B2" w:rsidP="00E81F69">
      <w:pPr>
        <w:pStyle w:val="Paragraphedeliste"/>
        <w:numPr>
          <w:ilvl w:val="0"/>
          <w:numId w:val="10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 xml:space="preserve">في حالة عدم تقديم التصريح السنوي في آجاله أي بعد 30 أفريل من السنة </w:t>
      </w:r>
      <w:r w:rsidRPr="00074BBA">
        <w:rPr>
          <w:rFonts w:ascii="Arial" w:hAnsi="Arial" w:cs="Arial"/>
          <w:sz w:val="28"/>
          <w:szCs w:val="28"/>
        </w:rPr>
        <w:t>(N</w:t>
      </w:r>
      <w:r>
        <w:rPr>
          <w:rFonts w:ascii="Arial" w:hAnsi="Arial" w:cs="Arial"/>
          <w:sz w:val="28"/>
          <w:szCs w:val="28"/>
        </w:rPr>
        <w:t>+1</w:t>
      </w:r>
      <w:r w:rsidRPr="00074BB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 w:hint="cs"/>
          <w:sz w:val="28"/>
          <w:szCs w:val="28"/>
          <w:rtl/>
        </w:rPr>
        <w:t xml:space="preserve"> تُطبق زيادة في الحقوق بنسبة 10</w:t>
      </w:r>
      <w:r w:rsidRPr="00074BBA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إذا ك</w:t>
      </w:r>
      <w:r w:rsidR="00E60979">
        <w:rPr>
          <w:rFonts w:ascii="Arial" w:hAnsi="Arial" w:cs="Arial" w:hint="cs"/>
          <w:sz w:val="28"/>
          <w:szCs w:val="28"/>
          <w:rtl/>
        </w:rPr>
        <w:t xml:space="preserve">ان التأخير لا يتجاوز شهر. أما في الحالة التي تكون فيها مدة التأخير </w:t>
      </w:r>
      <w:r w:rsidR="00E60979">
        <w:rPr>
          <w:rFonts w:ascii="Arial" w:hAnsi="Arial" w:cs="Arial" w:hint="cs"/>
          <w:sz w:val="28"/>
          <w:szCs w:val="28"/>
          <w:rtl/>
        </w:rPr>
        <w:lastRenderedPageBreak/>
        <w:t>تتجاوز شهر وتقل عن شهرين فتُطبق زيادة تقدر ب 20</w:t>
      </w:r>
      <w:r w:rsidR="00E60979" w:rsidRPr="00074BBA">
        <w:rPr>
          <w:rFonts w:ascii="Arial" w:hAnsi="Arial" w:cs="Arial"/>
          <w:sz w:val="28"/>
          <w:szCs w:val="28"/>
        </w:rPr>
        <w:t>%</w:t>
      </w:r>
      <w:r w:rsidR="00E60979">
        <w:rPr>
          <w:rFonts w:ascii="Arial" w:hAnsi="Arial" w:cs="Arial" w:hint="cs"/>
          <w:sz w:val="28"/>
          <w:szCs w:val="28"/>
          <w:rtl/>
        </w:rPr>
        <w:t>. أما إذا تجاوزت مدة التأخير شهرين فهناك زيادة تُقدر بـ 25</w:t>
      </w:r>
      <w:r w:rsidR="00E60979" w:rsidRPr="00074BBA">
        <w:rPr>
          <w:rFonts w:ascii="Arial" w:hAnsi="Arial" w:cs="Arial"/>
          <w:sz w:val="28"/>
          <w:szCs w:val="28"/>
        </w:rPr>
        <w:t>%</w:t>
      </w:r>
      <w:r w:rsidR="00E60979">
        <w:rPr>
          <w:rFonts w:ascii="Arial" w:hAnsi="Arial" w:cs="Arial" w:hint="cs"/>
          <w:sz w:val="28"/>
          <w:szCs w:val="28"/>
          <w:rtl/>
        </w:rPr>
        <w:t>.</w:t>
      </w:r>
    </w:p>
    <w:p w:rsidR="00E60979" w:rsidRDefault="00E60979" w:rsidP="00E81F69">
      <w:pPr>
        <w:pStyle w:val="Paragraphedeliste"/>
        <w:numPr>
          <w:ilvl w:val="0"/>
          <w:numId w:val="10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 xml:space="preserve">في حالة التصريحات الناقصة تُطبق العقوبات التالية حسب مبلغ الحقوق المُتهرب منها: </w:t>
      </w:r>
    </w:p>
    <w:p w:rsidR="00E95BC7" w:rsidRPr="00E95BC7" w:rsidRDefault="00E95BC7" w:rsidP="00E81F69">
      <w:pPr>
        <w:pStyle w:val="Paragraphedeliste"/>
        <w:numPr>
          <w:ilvl w:val="0"/>
          <w:numId w:val="11"/>
        </w:numPr>
        <w:bidi/>
        <w:spacing w:before="120" w:after="120" w:line="360" w:lineRule="auto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10</w:t>
      </w:r>
      <w:r w:rsidRPr="00074BBA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إذا كان مبلغ الحقوق المتهرب منها أقل أو يساوي 50000 دج؛</w:t>
      </w:r>
    </w:p>
    <w:p w:rsidR="00E95BC7" w:rsidRPr="00E95BC7" w:rsidRDefault="00E95BC7" w:rsidP="00E81F69">
      <w:pPr>
        <w:pStyle w:val="Paragraphedeliste"/>
        <w:numPr>
          <w:ilvl w:val="0"/>
          <w:numId w:val="11"/>
        </w:numPr>
        <w:bidi/>
        <w:spacing w:before="120" w:after="120" w:line="360" w:lineRule="auto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15</w:t>
      </w:r>
      <w:r w:rsidRPr="00074BBA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إذا كان مبلغ الحقوق المتهرب منها أكبر من 50000 دج و أقل من 200000 دج؛</w:t>
      </w:r>
    </w:p>
    <w:p w:rsidR="00E95BC7" w:rsidRPr="00E95BC7" w:rsidRDefault="00E95BC7" w:rsidP="00E81F69">
      <w:pPr>
        <w:pStyle w:val="Paragraphedeliste"/>
        <w:numPr>
          <w:ilvl w:val="0"/>
          <w:numId w:val="11"/>
        </w:numPr>
        <w:bidi/>
        <w:spacing w:before="120" w:after="120" w:line="360" w:lineRule="auto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25</w:t>
      </w:r>
      <w:r w:rsidRPr="00E95BC7">
        <w:rPr>
          <w:rFonts w:ascii="Arial" w:hAnsi="Arial" w:cs="Arial" w:hint="cs"/>
          <w:sz w:val="28"/>
          <w:szCs w:val="28"/>
          <w:rtl/>
        </w:rPr>
        <w:t xml:space="preserve"> </w:t>
      </w:r>
      <w:r w:rsidRPr="00074BBA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إذا كان مبلغ الحقوق المتهرب منها أكثر من 200000 دج.</w:t>
      </w:r>
    </w:p>
    <w:p w:rsidR="00E95BC7" w:rsidRDefault="00E95BC7" w:rsidP="00E81F69">
      <w:pPr>
        <w:pStyle w:val="Paragraphedeliste"/>
        <w:numPr>
          <w:ilvl w:val="0"/>
          <w:numId w:val="12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غرامة عدم التصريح بالوجود تساوي 30000 دج.</w:t>
      </w:r>
    </w:p>
    <w:p w:rsidR="00E95BC7" w:rsidRPr="00E95BC7" w:rsidRDefault="00E95BC7" w:rsidP="00E81F69">
      <w:pPr>
        <w:pStyle w:val="Paragraphedeliste"/>
        <w:numPr>
          <w:ilvl w:val="0"/>
          <w:numId w:val="12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>غرامة عدم تسديد قسط التسوية بعد إرسال إشعار من إدارة الضرائب يُساوي 35</w:t>
      </w:r>
      <w:r w:rsidRPr="00074BBA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E95BC7" w:rsidRPr="00FA2164" w:rsidRDefault="00E95BC7" w:rsidP="00E81F69">
      <w:pPr>
        <w:pStyle w:val="Paragraphedeliste"/>
        <w:numPr>
          <w:ilvl w:val="0"/>
          <w:numId w:val="12"/>
        </w:numPr>
        <w:bidi/>
        <w:spacing w:before="120" w:after="120" w:line="360" w:lineRule="auto"/>
        <w:ind w:left="43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cs"/>
          <w:sz w:val="28"/>
          <w:szCs w:val="28"/>
          <w:rtl/>
          <w:lang w:val="en-US"/>
        </w:rPr>
        <w:t xml:space="preserve">في حالة التأخر عن إيداع التصريح الشهري </w:t>
      </w:r>
      <w:r>
        <w:rPr>
          <w:rFonts w:ascii="Arial" w:hAnsi="Arial" w:cs="Arial"/>
          <w:sz w:val="28"/>
          <w:szCs w:val="28"/>
        </w:rPr>
        <w:t>G50</w:t>
      </w:r>
      <w:r>
        <w:rPr>
          <w:rFonts w:ascii="Arial" w:hAnsi="Arial" w:cs="Arial" w:hint="cs"/>
          <w:sz w:val="28"/>
          <w:szCs w:val="28"/>
          <w:rtl/>
        </w:rPr>
        <w:t xml:space="preserve"> تُطبق العقوبات حسب شهر التأخير أقلها 15</w:t>
      </w:r>
      <w:r w:rsidRPr="00074BBA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 xml:space="preserve"> و أكبر عقوبة 35</w:t>
      </w:r>
      <w:r w:rsidRPr="00074BBA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C63750" w:rsidRPr="00420144" w:rsidRDefault="00C63750" w:rsidP="00420144">
      <w:pPr>
        <w:bidi/>
        <w:spacing w:before="120" w:after="120" w:line="360" w:lineRule="auto"/>
        <w:ind w:left="72"/>
        <w:jc w:val="both"/>
        <w:rPr>
          <w:rFonts w:ascii="Arial" w:hAnsi="Arial" w:cs="Arial"/>
          <w:sz w:val="28"/>
          <w:szCs w:val="28"/>
          <w:rtl/>
        </w:rPr>
      </w:pPr>
      <w:bookmarkStart w:id="0" w:name="_GoBack"/>
      <w:bookmarkEnd w:id="0"/>
    </w:p>
    <w:sectPr w:rsidR="00C63750" w:rsidRPr="00420144" w:rsidSect="00237DBD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1C" w:rsidRDefault="0099011C" w:rsidP="00FA2164">
      <w:pPr>
        <w:spacing w:after="0" w:line="240" w:lineRule="auto"/>
      </w:pPr>
      <w:r>
        <w:separator/>
      </w:r>
    </w:p>
  </w:endnote>
  <w:endnote w:type="continuationSeparator" w:id="0">
    <w:p w:rsidR="0099011C" w:rsidRDefault="0099011C" w:rsidP="00FA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1C" w:rsidRDefault="0099011C" w:rsidP="00FA2164">
      <w:pPr>
        <w:spacing w:after="0" w:line="240" w:lineRule="auto"/>
      </w:pPr>
      <w:r>
        <w:separator/>
      </w:r>
    </w:p>
  </w:footnote>
  <w:footnote w:type="continuationSeparator" w:id="0">
    <w:p w:rsidR="0099011C" w:rsidRDefault="0099011C" w:rsidP="00FA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EBB"/>
    <w:multiLevelType w:val="hybridMultilevel"/>
    <w:tmpl w:val="FA52C796"/>
    <w:lvl w:ilvl="0" w:tplc="4AEE20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38F"/>
    <w:multiLevelType w:val="hybridMultilevel"/>
    <w:tmpl w:val="32FE8D58"/>
    <w:lvl w:ilvl="0" w:tplc="D3B07F90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719689F"/>
    <w:multiLevelType w:val="hybridMultilevel"/>
    <w:tmpl w:val="FEFE0152"/>
    <w:lvl w:ilvl="0" w:tplc="067AE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7781"/>
    <w:multiLevelType w:val="hybridMultilevel"/>
    <w:tmpl w:val="D4A2C10C"/>
    <w:lvl w:ilvl="0" w:tplc="040C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AEF3360"/>
    <w:multiLevelType w:val="hybridMultilevel"/>
    <w:tmpl w:val="5468B034"/>
    <w:lvl w:ilvl="0" w:tplc="D3B07F90">
      <w:start w:val="1"/>
      <w:numFmt w:val="bullet"/>
      <w:lvlText w:val="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1906"/>
    <w:multiLevelType w:val="hybridMultilevel"/>
    <w:tmpl w:val="4132A888"/>
    <w:lvl w:ilvl="0" w:tplc="4AEE20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0BA5"/>
    <w:multiLevelType w:val="hybridMultilevel"/>
    <w:tmpl w:val="C6683552"/>
    <w:lvl w:ilvl="0" w:tplc="D3B07F90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1FD4419"/>
    <w:multiLevelType w:val="hybridMultilevel"/>
    <w:tmpl w:val="6082F3A0"/>
    <w:lvl w:ilvl="0" w:tplc="4AEE20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449"/>
    <w:multiLevelType w:val="hybridMultilevel"/>
    <w:tmpl w:val="0CF2020C"/>
    <w:lvl w:ilvl="0" w:tplc="8EC00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418"/>
    <w:multiLevelType w:val="hybridMultilevel"/>
    <w:tmpl w:val="0A4C77BE"/>
    <w:lvl w:ilvl="0" w:tplc="4AEE2082">
      <w:start w:val="1"/>
      <w:numFmt w:val="bullet"/>
      <w:lvlText w:val="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8D029CD"/>
    <w:multiLevelType w:val="hybridMultilevel"/>
    <w:tmpl w:val="9AA2CADC"/>
    <w:lvl w:ilvl="0" w:tplc="4AEE20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214EC"/>
    <w:multiLevelType w:val="hybridMultilevel"/>
    <w:tmpl w:val="8BD63696"/>
    <w:lvl w:ilvl="0" w:tplc="4AEE2082">
      <w:start w:val="1"/>
      <w:numFmt w:val="bullet"/>
      <w:lvlText w:val="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B7A3FCA"/>
    <w:multiLevelType w:val="hybridMultilevel"/>
    <w:tmpl w:val="B156B22C"/>
    <w:lvl w:ilvl="0" w:tplc="D3B07F90">
      <w:start w:val="1"/>
      <w:numFmt w:val="bullet"/>
      <w:lvlText w:val=""/>
      <w:lvlJc w:val="left"/>
      <w:pPr>
        <w:ind w:left="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3" w15:restartNumberingAfterBreak="0">
    <w:nsid w:val="36F80A45"/>
    <w:multiLevelType w:val="hybridMultilevel"/>
    <w:tmpl w:val="965490EE"/>
    <w:lvl w:ilvl="0" w:tplc="4AEE2082">
      <w:start w:val="1"/>
      <w:numFmt w:val="bullet"/>
      <w:lvlText w:val="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74B7CA7"/>
    <w:multiLevelType w:val="hybridMultilevel"/>
    <w:tmpl w:val="BD503FCA"/>
    <w:lvl w:ilvl="0" w:tplc="4AEE2082">
      <w:start w:val="1"/>
      <w:numFmt w:val="bullet"/>
      <w:lvlText w:val="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42DC3A4E"/>
    <w:multiLevelType w:val="hybridMultilevel"/>
    <w:tmpl w:val="380C9CBE"/>
    <w:lvl w:ilvl="0" w:tplc="C5BAFCA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3D6E"/>
    <w:multiLevelType w:val="hybridMultilevel"/>
    <w:tmpl w:val="233AAEB8"/>
    <w:lvl w:ilvl="0" w:tplc="5E7EA202">
      <w:numFmt w:val="bullet"/>
      <w:lvlText w:val="-"/>
      <w:lvlJc w:val="left"/>
      <w:pPr>
        <w:ind w:left="684" w:hanging="360"/>
      </w:pPr>
      <w:rPr>
        <w:rFonts w:ascii="Arial" w:eastAsiaTheme="minorHAnsi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7" w15:restartNumberingAfterBreak="0">
    <w:nsid w:val="4E0E4236"/>
    <w:multiLevelType w:val="hybridMultilevel"/>
    <w:tmpl w:val="88582F50"/>
    <w:lvl w:ilvl="0" w:tplc="4AEE20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0F72"/>
    <w:multiLevelType w:val="hybridMultilevel"/>
    <w:tmpl w:val="807478F0"/>
    <w:lvl w:ilvl="0" w:tplc="8EC008A0">
      <w:numFmt w:val="bullet"/>
      <w:lvlText w:val="-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3A65D7B"/>
    <w:multiLevelType w:val="hybridMultilevel"/>
    <w:tmpl w:val="8034BF5E"/>
    <w:lvl w:ilvl="0" w:tplc="8EC00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E0748"/>
    <w:multiLevelType w:val="hybridMultilevel"/>
    <w:tmpl w:val="4DFE9D14"/>
    <w:lvl w:ilvl="0" w:tplc="8EC00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419D5"/>
    <w:multiLevelType w:val="hybridMultilevel"/>
    <w:tmpl w:val="5E9CF6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650E7"/>
    <w:multiLevelType w:val="hybridMultilevel"/>
    <w:tmpl w:val="E14A5B78"/>
    <w:lvl w:ilvl="0" w:tplc="8EC008A0">
      <w:numFmt w:val="bullet"/>
      <w:lvlText w:val="-"/>
      <w:lvlJc w:val="left"/>
      <w:pPr>
        <w:ind w:left="6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3" w15:restartNumberingAfterBreak="0">
    <w:nsid w:val="76B41A7C"/>
    <w:multiLevelType w:val="hybridMultilevel"/>
    <w:tmpl w:val="A06E1DAC"/>
    <w:lvl w:ilvl="0" w:tplc="4AEE2082">
      <w:start w:val="1"/>
      <w:numFmt w:val="bullet"/>
      <w:lvlText w:val="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C551CA3"/>
    <w:multiLevelType w:val="hybridMultilevel"/>
    <w:tmpl w:val="967A6A30"/>
    <w:lvl w:ilvl="0" w:tplc="8EC00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23"/>
  </w:num>
  <w:num w:numId="5">
    <w:abstractNumId w:val="1"/>
  </w:num>
  <w:num w:numId="6">
    <w:abstractNumId w:val="3"/>
  </w:num>
  <w:num w:numId="7">
    <w:abstractNumId w:val="21"/>
  </w:num>
  <w:num w:numId="8">
    <w:abstractNumId w:val="11"/>
  </w:num>
  <w:num w:numId="9">
    <w:abstractNumId w:val="14"/>
  </w:num>
  <w:num w:numId="10">
    <w:abstractNumId w:val="9"/>
  </w:num>
  <w:num w:numId="11">
    <w:abstractNumId w:val="6"/>
  </w:num>
  <w:num w:numId="12">
    <w:abstractNumId w:val="7"/>
  </w:num>
  <w:num w:numId="13">
    <w:abstractNumId w:val="20"/>
  </w:num>
  <w:num w:numId="14">
    <w:abstractNumId w:val="8"/>
  </w:num>
  <w:num w:numId="15">
    <w:abstractNumId w:val="16"/>
  </w:num>
  <w:num w:numId="16">
    <w:abstractNumId w:val="2"/>
  </w:num>
  <w:num w:numId="17">
    <w:abstractNumId w:val="22"/>
  </w:num>
  <w:num w:numId="18">
    <w:abstractNumId w:val="24"/>
  </w:num>
  <w:num w:numId="19">
    <w:abstractNumId w:val="12"/>
  </w:num>
  <w:num w:numId="20">
    <w:abstractNumId w:val="15"/>
  </w:num>
  <w:num w:numId="21">
    <w:abstractNumId w:val="18"/>
  </w:num>
  <w:num w:numId="22">
    <w:abstractNumId w:val="19"/>
  </w:num>
  <w:num w:numId="23">
    <w:abstractNumId w:val="0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2E4"/>
    <w:rsid w:val="00046A2F"/>
    <w:rsid w:val="00074BBA"/>
    <w:rsid w:val="00110C8F"/>
    <w:rsid w:val="001460F0"/>
    <w:rsid w:val="001D01BF"/>
    <w:rsid w:val="00224656"/>
    <w:rsid w:val="00237DBD"/>
    <w:rsid w:val="00240EB0"/>
    <w:rsid w:val="002574AE"/>
    <w:rsid w:val="002A1B3A"/>
    <w:rsid w:val="002C6AB6"/>
    <w:rsid w:val="002E641F"/>
    <w:rsid w:val="002F2886"/>
    <w:rsid w:val="0031486F"/>
    <w:rsid w:val="003E67A1"/>
    <w:rsid w:val="00403994"/>
    <w:rsid w:val="00420144"/>
    <w:rsid w:val="004453FC"/>
    <w:rsid w:val="004555D6"/>
    <w:rsid w:val="00480289"/>
    <w:rsid w:val="00494CFD"/>
    <w:rsid w:val="004C279D"/>
    <w:rsid w:val="00501EA7"/>
    <w:rsid w:val="005F73BA"/>
    <w:rsid w:val="00614B12"/>
    <w:rsid w:val="00646946"/>
    <w:rsid w:val="0064704E"/>
    <w:rsid w:val="0071355F"/>
    <w:rsid w:val="00724319"/>
    <w:rsid w:val="0072528C"/>
    <w:rsid w:val="007B11B6"/>
    <w:rsid w:val="007B30BB"/>
    <w:rsid w:val="00827C8D"/>
    <w:rsid w:val="00901B00"/>
    <w:rsid w:val="00906BB8"/>
    <w:rsid w:val="009167E9"/>
    <w:rsid w:val="00922443"/>
    <w:rsid w:val="009532C2"/>
    <w:rsid w:val="00972644"/>
    <w:rsid w:val="0099011C"/>
    <w:rsid w:val="00991FCA"/>
    <w:rsid w:val="00B102C9"/>
    <w:rsid w:val="00B557B2"/>
    <w:rsid w:val="00B61CCC"/>
    <w:rsid w:val="00B77214"/>
    <w:rsid w:val="00C63750"/>
    <w:rsid w:val="00C94616"/>
    <w:rsid w:val="00CA13AA"/>
    <w:rsid w:val="00CF0B80"/>
    <w:rsid w:val="00DC13FB"/>
    <w:rsid w:val="00E16FD0"/>
    <w:rsid w:val="00E228C9"/>
    <w:rsid w:val="00E60979"/>
    <w:rsid w:val="00E81F0C"/>
    <w:rsid w:val="00E81F69"/>
    <w:rsid w:val="00E95BC7"/>
    <w:rsid w:val="00EE2177"/>
    <w:rsid w:val="00F11F7F"/>
    <w:rsid w:val="00F36D44"/>
    <w:rsid w:val="00FA2164"/>
    <w:rsid w:val="00FE3BAC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77EF2D"/>
  <w15:docId w15:val="{A2A05755-4CFD-4E2F-9509-EC020A2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42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2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21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21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2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4F09-41C9-4A70-949F-0F3C312C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copie star</dc:creator>
  <cp:lastModifiedBy>SABER BSA</cp:lastModifiedBy>
  <cp:revision>3</cp:revision>
  <dcterms:created xsi:type="dcterms:W3CDTF">2022-12-16T20:34:00Z</dcterms:created>
  <dcterms:modified xsi:type="dcterms:W3CDTF">2022-12-24T06:50:00Z</dcterms:modified>
</cp:coreProperties>
</file>