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E5B" w:rsidRDefault="00532E5B" w:rsidP="00532E5B">
      <w:pPr>
        <w:bidi/>
        <w:spacing w:after="0" w:line="240"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المحاضرة الأولى:</w:t>
      </w:r>
    </w:p>
    <w:p w:rsidR="002E1D57" w:rsidRDefault="002E1D57" w:rsidP="00334F1F">
      <w:pPr>
        <w:bidi/>
        <w:spacing w:after="0" w:line="240"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الحضارة الاغريقية: الموقع الجغرافي ومصادر دراسة تاريخ الاغريق</w:t>
      </w:r>
    </w:p>
    <w:p w:rsidR="00334F1F" w:rsidRDefault="00334F1F" w:rsidP="00334F1F">
      <w:pPr>
        <w:bidi/>
        <w:spacing w:after="0" w:line="240"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1/-الموقع الجغرافي:</w:t>
      </w:r>
    </w:p>
    <w:p w:rsidR="00334F1F" w:rsidRDefault="002E1D57" w:rsidP="00334F1F">
      <w:pPr>
        <w:bidi/>
        <w:spacing w:after="0" w:line="240" w:lineRule="auto"/>
        <w:ind w:firstLine="709"/>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وصف الباحثون جغرافية بلاد اليونان القديمة (أو بلاد الاغريق أو ه</w:t>
      </w:r>
      <w:r w:rsidR="00923901">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للاس) بأنها شبه جزيرة في الجزء الجنوبي الشرقي من أوربا. فقد كانت منطقة تشمل الجزر والسواحل التي تحيط تقريبا بالبحر الايجي وبحر مرمرة، والتي يتصورها الجغرافيون المحدثون في شكل وحدة باسم المنطقة الايجية.</w:t>
      </w:r>
      <w:r w:rsidR="00334F1F">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 xml:space="preserve">وقد </w:t>
      </w:r>
      <w:r w:rsidRPr="002E1D57">
        <w:rPr>
          <w:rFonts w:ascii="Traditional Arabic" w:hAnsi="Traditional Arabic" w:cs="Traditional Arabic" w:hint="cs"/>
          <w:sz w:val="28"/>
          <w:szCs w:val="28"/>
          <w:rtl/>
          <w:lang w:bidi="ar-DZ"/>
        </w:rPr>
        <w:t>كانت</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اليونان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القديمة</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تشغل</w:t>
      </w:r>
      <w:r w:rsidRPr="002E1D5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متسعا</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من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الأرض</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يبلغ</w:t>
      </w:r>
      <w:r w:rsidRPr="002E1D57">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24500</w:t>
      </w:r>
      <w:r w:rsidR="00334F1F">
        <w:rPr>
          <w:rFonts w:ascii="Traditional Arabic" w:hAnsi="Traditional Arabic" w:cs="Traditional Arabic" w:hint="cs"/>
          <w:sz w:val="28"/>
          <w:szCs w:val="28"/>
          <w:rtl/>
          <w:lang w:bidi="ar-DZ"/>
        </w:rPr>
        <w:t xml:space="preserve">  كم</w:t>
      </w:r>
      <w:r w:rsidR="00334F1F">
        <w:rPr>
          <w:rFonts w:ascii="Traditional Arabic" w:hAnsi="Traditional Arabic" w:cs="Traditional Arabic"/>
          <w:sz w:val="28"/>
          <w:szCs w:val="28"/>
          <w:lang w:bidi="ar-DZ"/>
        </w:rPr>
        <w:t xml:space="preserve"> ²</w:t>
      </w:r>
      <w:r w:rsidR="00334F1F">
        <w:rPr>
          <w:rFonts w:ascii="Traditional Arabic" w:hAnsi="Traditional Arabic" w:cs="Traditional Arabic" w:hint="cs"/>
          <w:sz w:val="28"/>
          <w:szCs w:val="28"/>
          <w:rtl/>
          <w:lang w:bidi="ar-DZ"/>
        </w:rPr>
        <w:t xml:space="preserve">، </w:t>
      </w:r>
      <w:r w:rsidRPr="002E1D57">
        <w:rPr>
          <w:rFonts w:ascii="Traditional Arabic" w:hAnsi="Traditional Arabic" w:cs="Traditional Arabic" w:hint="cs"/>
          <w:sz w:val="28"/>
          <w:szCs w:val="28"/>
          <w:rtl/>
          <w:lang w:bidi="ar-DZ"/>
        </w:rPr>
        <w:t>لكنه</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شديد</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w:t>
      </w:r>
      <w:r w:rsidR="00334F1F">
        <w:rPr>
          <w:rFonts w:ascii="Traditional Arabic" w:hAnsi="Traditional Arabic" w:cs="Traditional Arabic" w:hint="cs"/>
          <w:sz w:val="28"/>
          <w:szCs w:val="28"/>
          <w:rtl/>
          <w:lang w:bidi="ar-DZ"/>
        </w:rPr>
        <w:t>ت</w:t>
      </w:r>
      <w:r w:rsidRPr="002E1D57">
        <w:rPr>
          <w:rFonts w:ascii="Traditional Arabic" w:hAnsi="Traditional Arabic" w:cs="Traditional Arabic" w:hint="cs"/>
          <w:sz w:val="28"/>
          <w:szCs w:val="28"/>
          <w:rtl/>
          <w:lang w:bidi="ar-DZ"/>
        </w:rPr>
        <w:t>نوع</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من</w:t>
      </w:r>
      <w:r w:rsidRPr="002E1D57">
        <w:rPr>
          <w:rFonts w:ascii="Traditional Arabic" w:hAnsi="Traditional Arabic" w:cs="Traditional Arabic"/>
          <w:sz w:val="28"/>
          <w:szCs w:val="28"/>
          <w:rtl/>
          <w:lang w:bidi="ar-DZ"/>
        </w:rPr>
        <w:t xml:space="preserve"> </w:t>
      </w:r>
      <w:r w:rsidR="00923901">
        <w:rPr>
          <w:rFonts w:ascii="Traditional Arabic" w:hAnsi="Traditional Arabic" w:cs="Traditional Arabic" w:hint="cs"/>
          <w:sz w:val="28"/>
          <w:szCs w:val="28"/>
          <w:rtl/>
          <w:lang w:bidi="ar-DZ"/>
        </w:rPr>
        <w:t>الناح</w:t>
      </w:r>
      <w:r w:rsidRPr="002E1D57">
        <w:rPr>
          <w:rFonts w:ascii="Traditional Arabic" w:hAnsi="Traditional Arabic" w:cs="Traditional Arabic" w:hint="cs"/>
          <w:sz w:val="28"/>
          <w:szCs w:val="28"/>
          <w:rtl/>
          <w:lang w:bidi="ar-DZ"/>
        </w:rPr>
        <w:t>ية</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الجغرافية</w:t>
      </w:r>
      <w:r w:rsidR="00334F1F">
        <w:rPr>
          <w:rFonts w:ascii="Traditional Arabic" w:hAnsi="Traditional Arabic" w:cs="Traditional Arabic" w:hint="cs"/>
          <w:sz w:val="28"/>
          <w:szCs w:val="28"/>
          <w:rtl/>
          <w:lang w:bidi="ar-DZ"/>
        </w:rPr>
        <w:t>، بحيث تضم كل من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sz w:val="28"/>
          <w:szCs w:val="28"/>
          <w:rtl/>
          <w:lang w:bidi="fa-IR"/>
        </w:rPr>
        <w:t xml:space="preserve">۱) </w:t>
      </w:r>
      <w:r w:rsidRPr="002E1D57">
        <w:rPr>
          <w:rFonts w:ascii="Traditional Arabic" w:hAnsi="Traditional Arabic" w:cs="Traditional Arabic" w:hint="cs"/>
          <w:sz w:val="28"/>
          <w:szCs w:val="28"/>
          <w:rtl/>
          <w:lang w:bidi="ar-DZ"/>
        </w:rPr>
        <w:t>جنوب</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شبه</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جزيرة</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البلقان؛</w:t>
      </w:r>
    </w:p>
    <w:p w:rsidR="00334F1F" w:rsidRDefault="002E1D57" w:rsidP="00334F1F">
      <w:pPr>
        <w:bidi/>
        <w:spacing w:after="0" w:line="240" w:lineRule="auto"/>
        <w:ind w:firstLine="709"/>
        <w:rPr>
          <w:rFonts w:ascii="Traditional Arabic" w:hAnsi="Traditional Arabic" w:cs="Traditional Arabic"/>
          <w:sz w:val="28"/>
          <w:szCs w:val="28"/>
          <w:rtl/>
          <w:lang w:bidi="ar-DZ"/>
        </w:rPr>
      </w:pP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sz w:val="28"/>
          <w:szCs w:val="28"/>
          <w:rtl/>
          <w:lang w:bidi="fa-IR"/>
        </w:rPr>
        <w:t xml:space="preserve">۲) </w:t>
      </w:r>
      <w:r w:rsidR="00923901">
        <w:rPr>
          <w:rFonts w:ascii="Traditional Arabic" w:hAnsi="Traditional Arabic" w:cs="Traditional Arabic" w:hint="cs"/>
          <w:sz w:val="28"/>
          <w:szCs w:val="28"/>
          <w:rtl/>
          <w:lang w:bidi="fa-IR"/>
        </w:rPr>
        <w:t>ا</w:t>
      </w:r>
      <w:r w:rsidRPr="002E1D57">
        <w:rPr>
          <w:rFonts w:ascii="Traditional Arabic" w:hAnsi="Traditional Arabic" w:cs="Traditional Arabic" w:hint="cs"/>
          <w:sz w:val="28"/>
          <w:szCs w:val="28"/>
          <w:rtl/>
          <w:lang w:bidi="ar-DZ"/>
        </w:rPr>
        <w:t>لجزر</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الإيحية</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والأيونية؛</w:t>
      </w:r>
      <w:r w:rsidRPr="002E1D57">
        <w:rPr>
          <w:rFonts w:ascii="Traditional Arabic" w:hAnsi="Traditional Arabic" w:cs="Traditional Arabic"/>
          <w:sz w:val="28"/>
          <w:szCs w:val="28"/>
          <w:rtl/>
          <w:lang w:bidi="ar-DZ"/>
        </w:rPr>
        <w:t xml:space="preserve"> </w:t>
      </w:r>
    </w:p>
    <w:p w:rsidR="00334F1F" w:rsidRDefault="002E1D57" w:rsidP="00491279">
      <w:pPr>
        <w:bidi/>
        <w:spacing w:after="0" w:line="240" w:lineRule="auto"/>
        <w:ind w:firstLine="709"/>
        <w:jc w:val="both"/>
        <w:rPr>
          <w:rFonts w:ascii="Traditional Arabic" w:hAnsi="Traditional Arabic" w:cs="Traditional Arabic"/>
          <w:sz w:val="28"/>
          <w:szCs w:val="28"/>
          <w:rtl/>
          <w:lang w:bidi="ar-DZ"/>
        </w:rPr>
      </w:pPr>
      <w:r w:rsidRPr="002E1D57">
        <w:rPr>
          <w:rFonts w:ascii="Traditional Arabic" w:hAnsi="Traditional Arabic" w:cs="Traditional Arabic"/>
          <w:sz w:val="28"/>
          <w:szCs w:val="28"/>
          <w:rtl/>
          <w:lang w:bidi="fa-IR"/>
        </w:rPr>
        <w:t xml:space="preserve">۳) </w:t>
      </w:r>
      <w:r w:rsidRPr="002E1D57">
        <w:rPr>
          <w:rFonts w:ascii="Traditional Arabic" w:hAnsi="Traditional Arabic" w:cs="Traditional Arabic" w:hint="cs"/>
          <w:sz w:val="28"/>
          <w:szCs w:val="28"/>
          <w:rtl/>
          <w:lang w:bidi="ar-DZ"/>
        </w:rPr>
        <w:t>الأضلاع</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الغربية</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من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آسيا</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الصغرى</w:t>
      </w:r>
      <w:r w:rsidRPr="002E1D57">
        <w:rPr>
          <w:rFonts w:ascii="Traditional Arabic" w:hAnsi="Traditional Arabic" w:cs="Traditional Arabic"/>
          <w:sz w:val="28"/>
          <w:szCs w:val="28"/>
          <w:rtl/>
          <w:lang w:bidi="ar-DZ"/>
        </w:rPr>
        <w:t xml:space="preserve">. </w:t>
      </w:r>
    </w:p>
    <w:p w:rsidR="002E1D57" w:rsidRDefault="002E1D57" w:rsidP="00491279">
      <w:pPr>
        <w:bidi/>
        <w:spacing w:after="0" w:line="240" w:lineRule="auto"/>
        <w:ind w:firstLine="709"/>
        <w:jc w:val="both"/>
        <w:rPr>
          <w:rFonts w:ascii="Traditional Arabic" w:hAnsi="Traditional Arabic" w:cs="Traditional Arabic"/>
          <w:sz w:val="28"/>
          <w:szCs w:val="28"/>
          <w:rtl/>
          <w:lang w:bidi="ar-DZ"/>
        </w:rPr>
      </w:pPr>
      <w:r w:rsidRPr="002E1D57">
        <w:rPr>
          <w:rFonts w:ascii="Traditional Arabic" w:hAnsi="Traditional Arabic" w:cs="Traditional Arabic" w:hint="cs"/>
          <w:sz w:val="28"/>
          <w:szCs w:val="28"/>
          <w:rtl/>
          <w:lang w:bidi="ar-DZ"/>
        </w:rPr>
        <w:t>كانت</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تشغل</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اليونان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القارية</w:t>
      </w:r>
      <w:r>
        <w:rPr>
          <w:rFonts w:ascii="Traditional Arabic" w:hAnsi="Traditional Arabic" w:cs="Traditional Arabic" w:hint="cs"/>
          <w:sz w:val="28"/>
          <w:szCs w:val="28"/>
          <w:rtl/>
          <w:lang w:bidi="ar-DZ"/>
        </w:rPr>
        <w:t xml:space="preserve"> </w:t>
      </w:r>
      <w:r w:rsidR="00334F1F">
        <w:rPr>
          <w:rFonts w:ascii="Traditional Arabic" w:hAnsi="Traditional Arabic" w:cs="Traditional Arabic" w:hint="cs"/>
          <w:sz w:val="28"/>
          <w:szCs w:val="28"/>
          <w:rtl/>
          <w:lang w:bidi="ar-DZ"/>
        </w:rPr>
        <w:t>(البلقان)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ربع</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اليونان</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ك</w:t>
      </w:r>
      <w:r w:rsidRPr="002E1D57">
        <w:rPr>
          <w:rFonts w:ascii="Traditional Arabic" w:hAnsi="Traditional Arabic" w:cs="Traditional Arabic" w:hint="cs"/>
          <w:sz w:val="28"/>
          <w:szCs w:val="28"/>
          <w:rtl/>
          <w:lang w:bidi="ar-DZ"/>
        </w:rPr>
        <w:t>لها</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ولم</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تكن</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س</w:t>
      </w:r>
      <w:r w:rsidRPr="002E1D57">
        <w:rPr>
          <w:rFonts w:ascii="Traditional Arabic" w:hAnsi="Traditional Arabic" w:cs="Traditional Arabic" w:hint="cs"/>
          <w:sz w:val="28"/>
          <w:szCs w:val="28"/>
          <w:rtl/>
          <w:lang w:bidi="ar-DZ"/>
        </w:rPr>
        <w:t>وی</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شبه</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جزيرة</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مقس</w:t>
      </w:r>
      <w:r w:rsidR="00334F1F">
        <w:rPr>
          <w:rFonts w:ascii="Traditional Arabic" w:hAnsi="Traditional Arabic" w:cs="Traditional Arabic" w:hint="cs"/>
          <w:sz w:val="28"/>
          <w:szCs w:val="28"/>
          <w:rtl/>
          <w:lang w:bidi="ar-DZ"/>
        </w:rPr>
        <w:t>م</w:t>
      </w:r>
      <w:r w:rsidRPr="002E1D57">
        <w:rPr>
          <w:rFonts w:ascii="Traditional Arabic" w:hAnsi="Traditional Arabic" w:cs="Traditional Arabic" w:hint="cs"/>
          <w:sz w:val="28"/>
          <w:szCs w:val="28"/>
          <w:rtl/>
          <w:lang w:bidi="ar-DZ"/>
        </w:rPr>
        <w:t>ة</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بين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خلجان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وسلاسل</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جبلية</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إلى</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ثلاثة</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أقال</w:t>
      </w:r>
      <w:r w:rsidRPr="002E1D57">
        <w:rPr>
          <w:rFonts w:ascii="Traditional Arabic" w:hAnsi="Traditional Arabic" w:cs="Traditional Arabic" w:hint="cs"/>
          <w:sz w:val="28"/>
          <w:szCs w:val="28"/>
          <w:rtl/>
          <w:lang w:bidi="ar-DZ"/>
        </w:rPr>
        <w:t>يم</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متمايز</w:t>
      </w:r>
      <w:r w:rsidRPr="002E1D57">
        <w:rPr>
          <w:rFonts w:ascii="Traditional Arabic" w:hAnsi="Traditional Arabic" w:cs="Traditional Arabic" w:hint="cs"/>
          <w:sz w:val="28"/>
          <w:szCs w:val="28"/>
          <w:rtl/>
          <w:lang w:bidi="ar-DZ"/>
        </w:rPr>
        <w:t>ة</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الشمال،</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الوسط</w:t>
      </w:r>
      <w:r w:rsidR="00923901">
        <w:rPr>
          <w:rFonts w:ascii="Traditional Arabic" w:hAnsi="Traditional Arabic" w:cs="Traditional Arabic" w:hint="cs"/>
          <w:sz w:val="28"/>
          <w:szCs w:val="28"/>
          <w:rtl/>
          <w:lang w:bidi="ar-DZ"/>
        </w:rPr>
        <w:t xml:space="preserve">، </w:t>
      </w:r>
      <w:r w:rsidRPr="002E1D57">
        <w:rPr>
          <w:rFonts w:ascii="Traditional Arabic" w:hAnsi="Traditional Arabic" w:cs="Traditional Arabic" w:hint="cs"/>
          <w:sz w:val="28"/>
          <w:szCs w:val="28"/>
          <w:rtl/>
          <w:lang w:bidi="ar-DZ"/>
        </w:rPr>
        <w:t>والجنوب</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أ</w:t>
      </w:r>
      <w:r w:rsidRPr="002E1D57">
        <w:rPr>
          <w:rFonts w:ascii="Traditional Arabic" w:hAnsi="Traditional Arabic" w:cs="Traditional Arabic" w:hint="cs"/>
          <w:sz w:val="28"/>
          <w:szCs w:val="28"/>
          <w:rtl/>
          <w:lang w:bidi="ar-DZ"/>
        </w:rPr>
        <w:t>و</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البولي</w:t>
      </w:r>
      <w:r w:rsidRPr="002E1D57">
        <w:rPr>
          <w:rFonts w:ascii="Traditional Arabic" w:hAnsi="Traditional Arabic" w:cs="Traditional Arabic" w:hint="cs"/>
          <w:sz w:val="28"/>
          <w:szCs w:val="28"/>
          <w:rtl/>
          <w:lang w:bidi="ar-DZ"/>
        </w:rPr>
        <w:t>بونيز</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ويتألف</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اليونان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الشمالي</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نفسه</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من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منطقتين</w:t>
      </w:r>
      <w:r w:rsidRPr="002E1D57">
        <w:rPr>
          <w:rFonts w:ascii="Traditional Arabic" w:hAnsi="Traditional Arabic" w:cs="Traditional Arabic"/>
          <w:sz w:val="28"/>
          <w:szCs w:val="28"/>
          <w:rtl/>
          <w:lang w:bidi="ar-DZ"/>
        </w:rPr>
        <w:t>:</w:t>
      </w:r>
      <w:r w:rsidR="00923901">
        <w:rPr>
          <w:rFonts w:ascii="Traditional Arabic" w:hAnsi="Traditional Arabic" w:cs="Traditional Arabic" w:hint="cs"/>
          <w:sz w:val="28"/>
          <w:szCs w:val="28"/>
          <w:rtl/>
          <w:lang w:bidi="ar-DZ"/>
        </w:rPr>
        <w:t xml:space="preserve"> </w:t>
      </w:r>
      <w:r w:rsidR="00334F1F">
        <w:rPr>
          <w:rFonts w:ascii="Traditional Arabic" w:hAnsi="Traditional Arabic" w:cs="Traditional Arabic" w:hint="cs"/>
          <w:sz w:val="28"/>
          <w:szCs w:val="28"/>
          <w:rtl/>
          <w:lang w:bidi="ar-DZ"/>
        </w:rPr>
        <w:t>ايبيري</w:t>
      </w:r>
      <w:r w:rsidRPr="002E1D57">
        <w:rPr>
          <w:rFonts w:ascii="Traditional Arabic" w:hAnsi="Traditional Arabic" w:cs="Traditional Arabic" w:hint="cs"/>
          <w:sz w:val="28"/>
          <w:szCs w:val="28"/>
          <w:rtl/>
          <w:lang w:bidi="ar-DZ"/>
        </w:rPr>
        <w:t>ا</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وتس</w:t>
      </w:r>
      <w:r w:rsidRPr="002E1D57">
        <w:rPr>
          <w:rFonts w:ascii="Traditional Arabic" w:hAnsi="Traditional Arabic" w:cs="Traditional Arabic" w:hint="cs"/>
          <w:sz w:val="28"/>
          <w:szCs w:val="28"/>
          <w:rtl/>
          <w:lang w:bidi="ar-DZ"/>
        </w:rPr>
        <w:t>اليا،</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و</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المنطق</w:t>
      </w:r>
      <w:r w:rsidRPr="002E1D57">
        <w:rPr>
          <w:rFonts w:ascii="Traditional Arabic" w:hAnsi="Traditional Arabic" w:cs="Traditional Arabic" w:hint="cs"/>
          <w:sz w:val="28"/>
          <w:szCs w:val="28"/>
          <w:rtl/>
          <w:lang w:bidi="ar-DZ"/>
        </w:rPr>
        <w:t>ة</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الأهم</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من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اليونان</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الأوسط</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من</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الناح</w:t>
      </w:r>
      <w:r w:rsidRPr="002E1D57">
        <w:rPr>
          <w:rFonts w:ascii="Traditional Arabic" w:hAnsi="Traditional Arabic" w:cs="Traditional Arabic" w:hint="cs"/>
          <w:sz w:val="28"/>
          <w:szCs w:val="28"/>
          <w:rtl/>
          <w:lang w:bidi="ar-DZ"/>
        </w:rPr>
        <w:t>ية</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السياسية</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هي الأتيك وبيوتيا</w:t>
      </w:r>
      <w:r w:rsidRPr="002E1D57">
        <w:rPr>
          <w:rFonts w:ascii="Traditional Arabic" w:hAnsi="Traditional Arabic" w:cs="Traditional Arabic" w:hint="cs"/>
          <w:sz w:val="28"/>
          <w:szCs w:val="28"/>
          <w:rtl/>
          <w:lang w:bidi="ar-DZ"/>
        </w:rPr>
        <w:t>،</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وهما</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في</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الشرق</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 xml:space="preserve">أما </w:t>
      </w:r>
      <w:r w:rsidRPr="002E1D57">
        <w:rPr>
          <w:rFonts w:ascii="Traditional Arabic" w:hAnsi="Traditional Arabic" w:cs="Traditional Arabic" w:hint="cs"/>
          <w:sz w:val="28"/>
          <w:szCs w:val="28"/>
          <w:rtl/>
          <w:lang w:bidi="ar-DZ"/>
        </w:rPr>
        <w:t>أهم</w:t>
      </w:r>
      <w:r w:rsidR="00334F1F">
        <w:rPr>
          <w:rFonts w:ascii="Traditional Arabic" w:hAnsi="Traditional Arabic" w:cs="Traditional Arabic" w:hint="cs"/>
          <w:sz w:val="28"/>
          <w:szCs w:val="28"/>
          <w:rtl/>
          <w:lang w:bidi="ar-DZ"/>
        </w:rPr>
        <w:t xml:space="preserve"> مناط</w:t>
      </w:r>
      <w:r w:rsidRPr="002E1D57">
        <w:rPr>
          <w:rFonts w:ascii="Traditional Arabic" w:hAnsi="Traditional Arabic" w:cs="Traditional Arabic" w:hint="cs"/>
          <w:sz w:val="28"/>
          <w:szCs w:val="28"/>
          <w:rtl/>
          <w:lang w:bidi="ar-DZ"/>
        </w:rPr>
        <w:t>ق</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البوليبونيز فهي</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الار</w:t>
      </w:r>
      <w:r w:rsidR="00334F1F">
        <w:rPr>
          <w:rFonts w:ascii="Traditional Arabic" w:hAnsi="Traditional Arabic" w:cs="Traditional Arabic" w:hint="cs"/>
          <w:sz w:val="28"/>
          <w:szCs w:val="28"/>
          <w:rtl/>
          <w:lang w:bidi="ar-DZ"/>
        </w:rPr>
        <w:t>غوليد</w:t>
      </w:r>
      <w:r w:rsidRPr="002E1D57">
        <w:rPr>
          <w:rFonts w:ascii="Traditional Arabic" w:hAnsi="Traditional Arabic" w:cs="Traditional Arabic"/>
          <w:sz w:val="28"/>
          <w:szCs w:val="28"/>
          <w:rtl/>
          <w:lang w:bidi="ar-DZ"/>
        </w:rPr>
        <w:t xml:space="preserve"> </w:t>
      </w:r>
      <w:r w:rsidRPr="002E1D57">
        <w:rPr>
          <w:rFonts w:ascii="Traditional Arabic" w:hAnsi="Traditional Arabic" w:cs="Traditional Arabic" w:hint="cs"/>
          <w:sz w:val="28"/>
          <w:szCs w:val="28"/>
          <w:rtl/>
          <w:lang w:bidi="ar-DZ"/>
        </w:rPr>
        <w:t>،</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لاك</w:t>
      </w:r>
      <w:r w:rsidRPr="002E1D57">
        <w:rPr>
          <w:rFonts w:ascii="Traditional Arabic" w:hAnsi="Traditional Arabic" w:cs="Traditional Arabic" w:hint="cs"/>
          <w:sz w:val="28"/>
          <w:szCs w:val="28"/>
          <w:rtl/>
          <w:lang w:bidi="ar-DZ"/>
        </w:rPr>
        <w:t>ونیا،</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مسينا، ايليد</w:t>
      </w:r>
      <w:r w:rsidRPr="002E1D57">
        <w:rPr>
          <w:rFonts w:ascii="Traditional Arabic" w:hAnsi="Traditional Arabic" w:cs="Traditional Arabic"/>
          <w:sz w:val="28"/>
          <w:szCs w:val="28"/>
          <w:rtl/>
          <w:lang w:bidi="ar-DZ"/>
        </w:rPr>
        <w:t xml:space="preserve"> </w:t>
      </w:r>
      <w:r w:rsidR="00334F1F">
        <w:rPr>
          <w:rFonts w:ascii="Traditional Arabic" w:hAnsi="Traditional Arabic" w:cs="Traditional Arabic" w:hint="cs"/>
          <w:sz w:val="28"/>
          <w:szCs w:val="28"/>
          <w:rtl/>
          <w:lang w:bidi="ar-DZ"/>
        </w:rPr>
        <w:t>وأرکو</w:t>
      </w:r>
      <w:r w:rsidRPr="002E1D57">
        <w:rPr>
          <w:rFonts w:ascii="Traditional Arabic" w:hAnsi="Traditional Arabic" w:cs="Traditional Arabic" w:hint="cs"/>
          <w:sz w:val="28"/>
          <w:szCs w:val="28"/>
          <w:rtl/>
          <w:lang w:bidi="ar-DZ"/>
        </w:rPr>
        <w:t>دیا</w:t>
      </w:r>
      <w:r w:rsidR="00D5686D">
        <w:rPr>
          <w:rStyle w:val="Appeldenotedefin"/>
          <w:rFonts w:ascii="Traditional Arabic" w:hAnsi="Traditional Arabic" w:cs="Traditional Arabic"/>
          <w:sz w:val="28"/>
          <w:szCs w:val="28"/>
          <w:rtl/>
          <w:lang w:bidi="ar-DZ"/>
        </w:rPr>
        <w:endnoteReference w:id="1"/>
      </w:r>
      <w:r w:rsidR="00334F1F">
        <w:rPr>
          <w:rFonts w:ascii="Traditional Arabic" w:hAnsi="Traditional Arabic" w:cs="Traditional Arabic" w:hint="cs"/>
          <w:sz w:val="28"/>
          <w:szCs w:val="28"/>
          <w:rtl/>
          <w:lang w:bidi="ar-DZ"/>
        </w:rPr>
        <w:t>.</w:t>
      </w:r>
    </w:p>
    <w:p w:rsidR="00334F1F" w:rsidRDefault="00334F1F" w:rsidP="00491279">
      <w:pPr>
        <w:bidi/>
        <w:spacing w:after="0" w:line="240" w:lineRule="auto"/>
        <w:ind w:firstLine="709"/>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2/-أثر العوامل الجغرافية في  تاريخ اليونان وحضارتهم:</w:t>
      </w:r>
    </w:p>
    <w:p w:rsidR="009A02E3" w:rsidRDefault="00EE7235" w:rsidP="00491279">
      <w:pPr>
        <w:bidi/>
        <w:spacing w:after="0" w:line="240" w:lineRule="auto"/>
        <w:ind w:firstLine="709"/>
        <w:jc w:val="both"/>
        <w:rPr>
          <w:rFonts w:ascii="Traditional Arabic" w:hAnsi="Traditional Arabic" w:cs="Traditional Arabic"/>
          <w:sz w:val="28"/>
          <w:szCs w:val="28"/>
          <w:rtl/>
          <w:lang w:bidi="ar-DZ"/>
        </w:rPr>
      </w:pPr>
      <w:r w:rsidRPr="00EE7235">
        <w:rPr>
          <w:rFonts w:ascii="Traditional Arabic" w:hAnsi="Traditional Arabic" w:cs="Traditional Arabic" w:hint="cs"/>
          <w:sz w:val="28"/>
          <w:szCs w:val="28"/>
          <w:rtl/>
          <w:lang w:bidi="ar-DZ"/>
        </w:rPr>
        <w:t>تتلخص الع</w:t>
      </w:r>
      <w:r w:rsidR="009A02E3">
        <w:rPr>
          <w:rFonts w:ascii="Traditional Arabic" w:hAnsi="Traditional Arabic" w:cs="Traditional Arabic" w:hint="cs"/>
          <w:sz w:val="28"/>
          <w:szCs w:val="28"/>
          <w:rtl/>
          <w:lang w:bidi="ar-DZ"/>
        </w:rPr>
        <w:t xml:space="preserve">وامل الجغرافية التي أدت إلى انقسام بلاد اليونان إلى عدة وحدات سياسية صغيرة تعرف ب ال </w:t>
      </w:r>
      <w:r w:rsidR="009A02E3">
        <w:rPr>
          <w:rFonts w:ascii="Traditional Arabic" w:hAnsi="Traditional Arabic" w:cs="Traditional Arabic"/>
          <w:sz w:val="28"/>
          <w:szCs w:val="28"/>
          <w:lang w:bidi="ar-DZ"/>
        </w:rPr>
        <w:t>polis</w:t>
      </w:r>
      <w:r w:rsidR="009A02E3">
        <w:rPr>
          <w:rFonts w:ascii="Traditional Arabic" w:hAnsi="Traditional Arabic" w:cs="Traditional Arabic" w:hint="cs"/>
          <w:sz w:val="28"/>
          <w:szCs w:val="28"/>
          <w:rtl/>
          <w:lang w:bidi="ar-DZ"/>
        </w:rPr>
        <w:t xml:space="preserve">، تتلخص في : الجبال والأنهار، البحر، والتربة. </w:t>
      </w:r>
    </w:p>
    <w:p w:rsidR="00EE7235" w:rsidRDefault="002A1D52" w:rsidP="00923901">
      <w:pPr>
        <w:bidi/>
        <w:spacing w:after="0" w:line="240" w:lineRule="auto"/>
        <w:ind w:firstLine="709"/>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أ-</w:t>
      </w:r>
      <w:r w:rsidR="009A02E3" w:rsidRPr="009A02E3">
        <w:rPr>
          <w:rFonts w:ascii="Traditional Arabic" w:hAnsi="Traditional Arabic" w:cs="Traditional Arabic" w:hint="cs"/>
          <w:b/>
          <w:bCs/>
          <w:sz w:val="28"/>
          <w:szCs w:val="28"/>
          <w:rtl/>
          <w:lang w:bidi="ar-DZ"/>
        </w:rPr>
        <w:t xml:space="preserve"> الجبال</w:t>
      </w:r>
      <w:r w:rsidR="00923901">
        <w:rPr>
          <w:rFonts w:ascii="Traditional Arabic" w:hAnsi="Traditional Arabic" w:cs="Traditional Arabic" w:hint="cs"/>
          <w:sz w:val="28"/>
          <w:szCs w:val="28"/>
          <w:rtl/>
          <w:lang w:bidi="ar-DZ"/>
        </w:rPr>
        <w:t>:</w:t>
      </w:r>
      <w:r w:rsidR="009A02E3">
        <w:rPr>
          <w:rFonts w:ascii="Traditional Arabic" w:hAnsi="Traditional Arabic" w:cs="Traditional Arabic" w:hint="cs"/>
          <w:sz w:val="28"/>
          <w:szCs w:val="28"/>
          <w:rtl/>
          <w:lang w:bidi="ar-DZ"/>
        </w:rPr>
        <w:t xml:space="preserve"> تتميز بطبيعتها غير المنتظمة لتي تقطع البلاد طولا وعرضا وتقسمها إلى مرتفعات كثيرة وسهول قليلة وتجعل الاتصال بين أجزائها</w:t>
      </w:r>
      <w:r w:rsidR="00491279">
        <w:rPr>
          <w:rFonts w:ascii="Traditional Arabic" w:hAnsi="Traditional Arabic" w:cs="Traditional Arabic" w:hint="cs"/>
          <w:sz w:val="28"/>
          <w:szCs w:val="28"/>
          <w:rtl/>
          <w:lang w:bidi="ar-DZ"/>
        </w:rPr>
        <w:t xml:space="preserve"> شاقا.</w:t>
      </w:r>
      <w:r w:rsidR="00491279">
        <w:rPr>
          <w:rFonts w:ascii="Traditional Arabic" w:hAnsi="Traditional Arabic" w:cs="Traditional Arabic"/>
          <w:sz w:val="28"/>
          <w:szCs w:val="28"/>
          <w:lang w:bidi="ar-DZ"/>
        </w:rPr>
        <w:t xml:space="preserve"> </w:t>
      </w:r>
      <w:r w:rsidR="00491279">
        <w:rPr>
          <w:rFonts w:ascii="Traditional Arabic" w:hAnsi="Traditional Arabic" w:cs="Traditional Arabic" w:hint="cs"/>
          <w:sz w:val="28"/>
          <w:szCs w:val="28"/>
          <w:rtl/>
          <w:lang w:bidi="ar-DZ"/>
        </w:rPr>
        <w:t>من أمثلة الممرات الضيقة بين السلاسل الجبلية نجد الممر الذي يصل كورنثة وبويوتيه (</w:t>
      </w:r>
      <w:r w:rsidR="00491279">
        <w:rPr>
          <w:rFonts w:ascii="Traditional Arabic" w:hAnsi="Traditional Arabic" w:cs="Traditional Arabic"/>
          <w:sz w:val="28"/>
          <w:szCs w:val="28"/>
          <w:lang w:bidi="ar-DZ"/>
        </w:rPr>
        <w:t xml:space="preserve"> </w:t>
      </w:r>
      <w:r w:rsidR="00491279" w:rsidRPr="00491279">
        <w:rPr>
          <w:rFonts w:ascii="Traditional Arabic" w:hAnsi="Traditional Arabic" w:cs="Traditional Arabic"/>
          <w:sz w:val="24"/>
          <w:szCs w:val="24"/>
          <w:lang w:bidi="ar-DZ"/>
        </w:rPr>
        <w:t>Boeotia</w:t>
      </w:r>
      <w:r w:rsidR="00491279">
        <w:rPr>
          <w:rFonts w:ascii="Traditional Arabic" w:hAnsi="Traditional Arabic" w:cs="Traditional Arabic" w:hint="cs"/>
          <w:sz w:val="28"/>
          <w:szCs w:val="28"/>
          <w:rtl/>
          <w:lang w:bidi="ar-DZ"/>
        </w:rPr>
        <w:t>) والذي يمتد على حافة جبل كيثايرون (</w:t>
      </w:r>
      <w:r w:rsidRPr="002A1D52">
        <w:rPr>
          <w:rFonts w:ascii="Traditional Arabic" w:hAnsi="Traditional Arabic" w:cs="Traditional Arabic"/>
          <w:sz w:val="24"/>
          <w:szCs w:val="24"/>
          <w:lang w:bidi="ar-DZ"/>
        </w:rPr>
        <w:t>Kithaeron</w:t>
      </w:r>
      <w:r w:rsidR="00491279">
        <w:rPr>
          <w:rFonts w:ascii="Traditional Arabic" w:hAnsi="Traditional Arabic" w:cs="Traditional Arabic" w:hint="cs"/>
          <w:sz w:val="28"/>
          <w:szCs w:val="28"/>
          <w:rtl/>
          <w:lang w:bidi="ar-DZ"/>
        </w:rPr>
        <w:t>)، ومن أمثلة الخطورة التي يتعرض لها الذين يعبرون هذا الممر ما يحدثنا به المؤرخ "</w:t>
      </w:r>
      <w:r w:rsidRPr="00F20C0B">
        <w:rPr>
          <w:rFonts w:ascii="Traditional Arabic" w:hAnsi="Traditional Arabic" w:cs="Traditional Arabic"/>
          <w:sz w:val="24"/>
          <w:szCs w:val="24"/>
          <w:lang w:bidi="ar-DZ"/>
        </w:rPr>
        <w:t>Xénophon</w:t>
      </w:r>
      <w:r w:rsidR="00491279">
        <w:rPr>
          <w:rFonts w:ascii="Traditional Arabic" w:hAnsi="Traditional Arabic" w:cs="Traditional Arabic" w:hint="cs"/>
          <w:sz w:val="28"/>
          <w:szCs w:val="28"/>
          <w:rtl/>
          <w:lang w:bidi="ar-DZ"/>
        </w:rPr>
        <w:t>" عما حدث في سنة 378 ق.م، حيث اضطرت قوة اسبرطية أمام خطر الرياح الشديدة ان تلقي بدروعها جانبا حتى يستطيع الجنود أن يعبروا هذا الممر على أيديهم وأقدامهم.</w:t>
      </w:r>
    </w:p>
    <w:p w:rsidR="00491279" w:rsidRDefault="00923901" w:rsidP="002A1D52">
      <w:pPr>
        <w:bidi/>
        <w:spacing w:after="0" w:line="240" w:lineRule="auto"/>
        <w:ind w:firstLine="709"/>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ولكن ظ</w:t>
      </w:r>
      <w:r w:rsidR="00491279">
        <w:rPr>
          <w:rFonts w:ascii="Traditional Arabic" w:hAnsi="Traditional Arabic" w:cs="Traditional Arabic" w:hint="cs"/>
          <w:sz w:val="28"/>
          <w:szCs w:val="28"/>
          <w:rtl/>
          <w:lang w:bidi="ar-DZ"/>
        </w:rPr>
        <w:t>اهرة انقسام اليونان نتيجة للعوامل الجغرافية إلى مناطق تكاد تكون منعزلة عن الأخرى لم تكن كلها سلبية، فالدويلات اليونانية التي قامت في هذه المناطق كانت كل منها بالضرورة صغيرة  في حجمها وفي عدد سكانها، وهو عدد لا يزيد كثيرا عن 30 ألف مواطن، وهو ما نتج عنه توفر الفرصة للاحتكاك الدائم بين أولئك المواطنين، حيث كان هذا الاحتكاك بالضرورة مج</w:t>
      </w:r>
      <w:r>
        <w:rPr>
          <w:rFonts w:ascii="Traditional Arabic" w:hAnsi="Traditional Arabic" w:cs="Traditional Arabic" w:hint="cs"/>
          <w:sz w:val="28"/>
          <w:szCs w:val="28"/>
          <w:rtl/>
          <w:lang w:bidi="ar-DZ"/>
        </w:rPr>
        <w:t>ا</w:t>
      </w:r>
      <w:r w:rsidR="00491279">
        <w:rPr>
          <w:rFonts w:ascii="Traditional Arabic" w:hAnsi="Traditional Arabic" w:cs="Traditional Arabic" w:hint="cs"/>
          <w:sz w:val="28"/>
          <w:szCs w:val="28"/>
          <w:rtl/>
          <w:lang w:bidi="ar-DZ"/>
        </w:rPr>
        <w:t>لا خصبا لمناقشة كل الامور</w:t>
      </w:r>
      <w:r w:rsidR="002A1D52">
        <w:rPr>
          <w:rFonts w:ascii="Traditional Arabic" w:hAnsi="Traditional Arabic" w:cs="Traditional Arabic" w:hint="cs"/>
          <w:sz w:val="28"/>
          <w:szCs w:val="28"/>
          <w:rtl/>
          <w:lang w:bidi="ar-DZ"/>
        </w:rPr>
        <w:t xml:space="preserve"> المتعلقة بالمجتمع في جوانب نشاطه المختلفة، وهو ما نتج عنه كذلك تبلور الرأي</w:t>
      </w:r>
      <w:r w:rsidR="002A1D52">
        <w:rPr>
          <w:rFonts w:ascii="Traditional Arabic" w:hAnsi="Traditional Arabic" w:cs="Traditional Arabic"/>
          <w:sz w:val="28"/>
          <w:szCs w:val="28"/>
          <w:lang w:bidi="ar-DZ"/>
        </w:rPr>
        <w:t xml:space="preserve"> </w:t>
      </w:r>
      <w:r w:rsidR="002A1D52">
        <w:rPr>
          <w:rFonts w:ascii="Traditional Arabic" w:hAnsi="Traditional Arabic" w:cs="Traditional Arabic" w:hint="cs"/>
          <w:sz w:val="28"/>
          <w:szCs w:val="28"/>
          <w:rtl/>
          <w:lang w:bidi="ar-DZ"/>
        </w:rPr>
        <w:t>في كل المجتمعات الصغيرة بسرعة لا تتوفر في مجتمعات الدول الكبرى</w:t>
      </w:r>
      <w:r w:rsidR="00D5686D">
        <w:rPr>
          <w:rStyle w:val="Appeldenotedefin"/>
          <w:rFonts w:ascii="Traditional Arabic" w:hAnsi="Traditional Arabic" w:cs="Traditional Arabic"/>
          <w:sz w:val="28"/>
          <w:szCs w:val="28"/>
          <w:rtl/>
          <w:lang w:bidi="ar-DZ"/>
        </w:rPr>
        <w:endnoteReference w:id="2"/>
      </w:r>
      <w:r w:rsidR="002A1D52">
        <w:rPr>
          <w:rFonts w:ascii="Traditional Arabic" w:hAnsi="Traditional Arabic" w:cs="Traditional Arabic" w:hint="cs"/>
          <w:sz w:val="28"/>
          <w:szCs w:val="28"/>
          <w:rtl/>
          <w:lang w:bidi="ar-DZ"/>
        </w:rPr>
        <w:t>.</w:t>
      </w:r>
    </w:p>
    <w:p w:rsidR="002A1D52" w:rsidRDefault="002A1D52" w:rsidP="00923901">
      <w:pPr>
        <w:bidi/>
        <w:spacing w:after="0" w:line="240" w:lineRule="auto"/>
        <w:ind w:firstLine="709"/>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ب-البحر:</w:t>
      </w:r>
      <w:r>
        <w:rPr>
          <w:rFonts w:ascii="Traditional Arabic" w:hAnsi="Traditional Arabic" w:cs="Traditional Arabic" w:hint="cs"/>
          <w:sz w:val="28"/>
          <w:szCs w:val="28"/>
          <w:rtl/>
          <w:lang w:bidi="ar-DZ"/>
        </w:rPr>
        <w:t xml:space="preserve"> يتصف بحر ايجة ا</w:t>
      </w:r>
      <w:r w:rsidR="00923901">
        <w:rPr>
          <w:rFonts w:ascii="Traditional Arabic" w:hAnsi="Traditional Arabic" w:cs="Traditional Arabic" w:hint="cs"/>
          <w:sz w:val="28"/>
          <w:szCs w:val="28"/>
          <w:rtl/>
          <w:lang w:bidi="ar-DZ"/>
        </w:rPr>
        <w:t>ل</w:t>
      </w:r>
      <w:r>
        <w:rPr>
          <w:rFonts w:ascii="Traditional Arabic" w:hAnsi="Traditional Arabic" w:cs="Traditional Arabic" w:hint="cs"/>
          <w:sz w:val="28"/>
          <w:szCs w:val="28"/>
          <w:rtl/>
          <w:lang w:bidi="ar-DZ"/>
        </w:rPr>
        <w:t>ذي يمثل الجزء الشمالي من القسم الشرقي للبحر المتوسط الذي يقع بين شبه جزيرة البلقان في الغرب وآسيا الصغرى في الشرق، يتصف بالهدوء</w:t>
      </w:r>
      <w:r w:rsidR="00923901" w:rsidRPr="00923901">
        <w:rPr>
          <w:rFonts w:hint="cs"/>
          <w:rtl/>
        </w:rPr>
        <w:t xml:space="preserve"> </w:t>
      </w:r>
      <w:r w:rsidR="00923901" w:rsidRPr="00923901">
        <w:rPr>
          <w:rFonts w:ascii="Traditional Arabic" w:hAnsi="Traditional Arabic" w:cs="Traditional Arabic" w:hint="cs"/>
          <w:sz w:val="28"/>
          <w:szCs w:val="28"/>
          <w:rtl/>
          <w:lang w:bidi="ar-DZ"/>
        </w:rPr>
        <w:t>خلال</w:t>
      </w:r>
      <w:r w:rsidR="00923901" w:rsidRPr="00923901">
        <w:rPr>
          <w:rFonts w:ascii="Traditional Arabic" w:hAnsi="Traditional Arabic" w:cs="Traditional Arabic"/>
          <w:sz w:val="28"/>
          <w:szCs w:val="28"/>
          <w:rtl/>
          <w:lang w:bidi="ar-DZ"/>
        </w:rPr>
        <w:t xml:space="preserve"> </w:t>
      </w:r>
      <w:r w:rsidR="00923901" w:rsidRPr="00923901">
        <w:rPr>
          <w:rFonts w:ascii="Traditional Arabic" w:hAnsi="Traditional Arabic" w:cs="Traditional Arabic" w:hint="cs"/>
          <w:sz w:val="28"/>
          <w:szCs w:val="28"/>
          <w:rtl/>
          <w:lang w:bidi="ar-DZ"/>
        </w:rPr>
        <w:t>العصر</w:t>
      </w:r>
      <w:r w:rsidR="00923901" w:rsidRPr="00923901">
        <w:rPr>
          <w:rFonts w:ascii="Traditional Arabic" w:hAnsi="Traditional Arabic" w:cs="Traditional Arabic"/>
          <w:sz w:val="28"/>
          <w:szCs w:val="28"/>
          <w:rtl/>
          <w:lang w:bidi="ar-DZ"/>
        </w:rPr>
        <w:t xml:space="preserve"> </w:t>
      </w:r>
      <w:r w:rsidR="00923901" w:rsidRPr="00923901">
        <w:rPr>
          <w:rFonts w:ascii="Traditional Arabic" w:hAnsi="Traditional Arabic" w:cs="Traditional Arabic" w:hint="cs"/>
          <w:sz w:val="28"/>
          <w:szCs w:val="28"/>
          <w:rtl/>
          <w:lang w:bidi="ar-DZ"/>
        </w:rPr>
        <w:t>القديم</w:t>
      </w:r>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على غرار البحر المتوسط- وهو بحر يوناني صرف ، حيث كانت المناطق التي يسكنها اليونان تطل عليه من جميع شوا</w:t>
      </w:r>
      <w:r w:rsidR="00923901">
        <w:rPr>
          <w:rFonts w:ascii="Traditional Arabic" w:hAnsi="Traditional Arabic" w:cs="Traditional Arabic" w:hint="cs"/>
          <w:sz w:val="28"/>
          <w:szCs w:val="28"/>
          <w:rtl/>
          <w:lang w:bidi="ar-DZ"/>
        </w:rPr>
        <w:t>ط</w:t>
      </w:r>
      <w:r>
        <w:rPr>
          <w:rFonts w:ascii="Traditional Arabic" w:hAnsi="Traditional Arabic" w:cs="Traditional Arabic" w:hint="cs"/>
          <w:sz w:val="28"/>
          <w:szCs w:val="28"/>
          <w:rtl/>
          <w:lang w:bidi="ar-DZ"/>
        </w:rPr>
        <w:t>ئه في الغ</w:t>
      </w:r>
      <w:r w:rsidR="00923901">
        <w:rPr>
          <w:rFonts w:ascii="Traditional Arabic" w:hAnsi="Traditional Arabic" w:cs="Traditional Arabic" w:hint="cs"/>
          <w:sz w:val="28"/>
          <w:szCs w:val="28"/>
          <w:rtl/>
          <w:lang w:bidi="ar-DZ"/>
        </w:rPr>
        <w:t>ر</w:t>
      </w:r>
      <w:r>
        <w:rPr>
          <w:rFonts w:ascii="Traditional Arabic" w:hAnsi="Traditional Arabic" w:cs="Traditional Arabic" w:hint="cs"/>
          <w:sz w:val="28"/>
          <w:szCs w:val="28"/>
          <w:rtl/>
          <w:lang w:bidi="ar-DZ"/>
        </w:rPr>
        <w:t>ب حيث بلاد اليونان الأصلية، وفي الشمال حيث كانت تستمر المناطق المأهولة باليونانيين، وفي الشرق حيث نجد الشاطئ الغربي لشبه جزيرة آسيا الصغرى أين هاجر اليونان واستقروا وأقاموا عددًا من المدن أو الدويلات. وفي وسطه حيث كانت ولاتزال توجد العديد من الجزر اليونانية.</w:t>
      </w:r>
    </w:p>
    <w:p w:rsidR="002A1D52" w:rsidRDefault="002A1D52" w:rsidP="002A1D52">
      <w:pPr>
        <w:bidi/>
        <w:spacing w:after="0" w:line="240" w:lineRule="auto"/>
        <w:ind w:firstLine="709"/>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lastRenderedPageBreak/>
        <w:t>لكن هذا البحر نفسه الذي يتوغل فيها ويجعل سواحلها مسننة كثيرة التع</w:t>
      </w:r>
      <w:r w:rsidR="00A82D0A">
        <w:rPr>
          <w:rFonts w:ascii="Traditional Arabic" w:hAnsi="Traditional Arabic" w:cs="Traditional Arabic" w:hint="cs"/>
          <w:sz w:val="28"/>
          <w:szCs w:val="28"/>
          <w:rtl/>
          <w:lang w:bidi="ar-DZ"/>
        </w:rPr>
        <w:t>اريج أو يقطعها إلى جزر وأشباه جز</w:t>
      </w:r>
      <w:r>
        <w:rPr>
          <w:rFonts w:ascii="Traditional Arabic" w:hAnsi="Traditional Arabic" w:cs="Traditional Arabic" w:hint="cs"/>
          <w:sz w:val="28"/>
          <w:szCs w:val="28"/>
          <w:rtl/>
          <w:lang w:bidi="ar-DZ"/>
        </w:rPr>
        <w:t>ر</w:t>
      </w:r>
      <w:r w:rsidR="00A82D0A">
        <w:rPr>
          <w:rFonts w:ascii="Traditional Arabic" w:hAnsi="Traditional Arabic" w:cs="Traditional Arabic" w:hint="cs"/>
          <w:sz w:val="28"/>
          <w:szCs w:val="28"/>
          <w:rtl/>
          <w:lang w:bidi="ar-DZ"/>
        </w:rPr>
        <w:t xml:space="preserve"> أو يقسم البلاد كلها إلى قسمين كبيرين، فيصبح على الرغم من أنه هو الذي خلق الوحدة الاقتصادية والثقافية بين أقسام العالم الايجي، عائقا دون تحقيق الوحدة السياسية، وذلك في حالة عدم استخدامه أو السيطرة عليه. وقد استخدمه اليونانيون بأكثر من صورة: كمهاجرين بشكل فردي أو على هيئة جماعات</w:t>
      </w:r>
      <w:r w:rsidR="00923901">
        <w:rPr>
          <w:rFonts w:ascii="Traditional Arabic" w:hAnsi="Traditional Arabic" w:cs="Traditional Arabic" w:hint="cs"/>
          <w:sz w:val="28"/>
          <w:szCs w:val="28"/>
          <w:rtl/>
          <w:lang w:bidi="ar-DZ"/>
        </w:rPr>
        <w:t>،</w:t>
      </w:r>
      <w:r w:rsidR="00A82D0A">
        <w:rPr>
          <w:rFonts w:ascii="Traditional Arabic" w:hAnsi="Traditional Arabic" w:cs="Traditional Arabic" w:hint="cs"/>
          <w:sz w:val="28"/>
          <w:szCs w:val="28"/>
          <w:rtl/>
          <w:lang w:bidi="ar-DZ"/>
        </w:rPr>
        <w:t xml:space="preserve"> وكذلك عرفوا البحر تجارًا منذ فترة مبكرة من تاريخهم وهو ما يتضح من خلال الالياذة والأوديسة (أي الفترة ما بين أوائل القرن ال12 وأواسط القرن ال9 قبل الميلاد</w:t>
      </w:r>
      <w:r w:rsidR="00923901">
        <w:rPr>
          <w:rFonts w:ascii="Traditional Arabic" w:hAnsi="Traditional Arabic" w:cs="Traditional Arabic" w:hint="cs"/>
          <w:sz w:val="28"/>
          <w:szCs w:val="28"/>
          <w:rtl/>
          <w:lang w:bidi="ar-DZ"/>
        </w:rPr>
        <w:t>)</w:t>
      </w:r>
      <w:r w:rsidR="00A82D0A">
        <w:rPr>
          <w:rFonts w:ascii="Traditional Arabic" w:hAnsi="Traditional Arabic" w:cs="Traditional Arabic" w:hint="cs"/>
          <w:sz w:val="28"/>
          <w:szCs w:val="28"/>
          <w:rtl/>
          <w:lang w:bidi="ar-DZ"/>
        </w:rPr>
        <w:t xml:space="preserve">. وأما الصفة الثالثة </w:t>
      </w:r>
      <w:r w:rsidR="00923901">
        <w:rPr>
          <w:rFonts w:ascii="Traditional Arabic" w:hAnsi="Traditional Arabic" w:cs="Traditional Arabic" w:hint="cs"/>
          <w:sz w:val="28"/>
          <w:szCs w:val="28"/>
          <w:rtl/>
          <w:lang w:bidi="ar-DZ"/>
        </w:rPr>
        <w:t>ا</w:t>
      </w:r>
      <w:r w:rsidR="00A82D0A">
        <w:rPr>
          <w:rFonts w:ascii="Traditional Arabic" w:hAnsi="Traditional Arabic" w:cs="Traditional Arabic" w:hint="cs"/>
          <w:sz w:val="28"/>
          <w:szCs w:val="28"/>
          <w:rtl/>
          <w:lang w:bidi="ar-DZ"/>
        </w:rPr>
        <w:t>لتي عرفوا بها البحر فهي القرصنة (لصوصية البحر).</w:t>
      </w:r>
    </w:p>
    <w:p w:rsidR="006D63CE" w:rsidRDefault="00A82D0A" w:rsidP="006D63CE">
      <w:pPr>
        <w:bidi/>
        <w:spacing w:after="0" w:line="240" w:lineRule="auto"/>
        <w:ind w:firstLine="709"/>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 xml:space="preserve">-التربة: </w:t>
      </w:r>
      <w:r>
        <w:rPr>
          <w:rFonts w:ascii="Traditional Arabic" w:hAnsi="Traditional Arabic" w:cs="Traditional Arabic" w:hint="cs"/>
          <w:sz w:val="28"/>
          <w:szCs w:val="28"/>
          <w:rtl/>
          <w:lang w:bidi="ar-DZ"/>
        </w:rPr>
        <w:t>إذا كانت المناطق الجبلية تشكل الجزء الأكبر من سطح البلاد، فإن الجزء السهلي الصغ</w:t>
      </w:r>
      <w:r w:rsidR="00D5686D">
        <w:rPr>
          <w:rFonts w:ascii="Traditional Arabic" w:hAnsi="Traditional Arabic" w:cs="Traditional Arabic" w:hint="cs"/>
          <w:sz w:val="28"/>
          <w:szCs w:val="28"/>
          <w:rtl/>
          <w:lang w:bidi="ar-DZ"/>
        </w:rPr>
        <w:t>ير الباقي لم</w:t>
      </w:r>
      <w:r>
        <w:rPr>
          <w:rFonts w:ascii="Traditional Arabic" w:hAnsi="Traditional Arabic" w:cs="Traditional Arabic" w:hint="cs"/>
          <w:sz w:val="28"/>
          <w:szCs w:val="28"/>
          <w:rtl/>
          <w:lang w:bidi="ar-DZ"/>
        </w:rPr>
        <w:t xml:space="preserve"> يشكل امتدادًا بين الأرض السهلية الخصبة، وإنما كان من جهة يشكل مناطق متفرقة من السهول الصغيرة، ومن جهة أخرى كانت تربة هذه السهول من النوع الرقيق الفقير غير الخصب، وهو ما انعكس على المحاصيل الزراعية</w:t>
      </w:r>
      <w:r w:rsidR="00D5686D">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 خاصة منها الحبوب التي تشكل العنصر الغذائي الأول عند اليونان. ونتيجة لذلك أيضا شاعت بهذه المناطق السهلية</w:t>
      </w:r>
      <w:r w:rsidR="006D63CE">
        <w:rPr>
          <w:rFonts w:ascii="Traditional Arabic" w:hAnsi="Traditional Arabic" w:cs="Traditional Arabic" w:hint="cs"/>
          <w:sz w:val="28"/>
          <w:szCs w:val="28"/>
          <w:rtl/>
          <w:lang w:bidi="ar-DZ"/>
        </w:rPr>
        <w:t xml:space="preserve"> محاصيل الزيتون، الكروم وهي محاصيل لا تحتاج إلى خصوبة كبيرة في المناطق التي تزرع بها. فالتربة بوجه عام في بلاد الاغريق والتباين الشديد في الظروف المناخية والزراعية، وبالتالي في الأحوال الاقتصادية والاجتماعية بين الأقاليم، وكيف أدى ذلك إلى الاختلاف في الطباع وأساليب المعيشة وقوّى من الرغبة في الاستقلال السياسي والاكتفاء الاقتصادي وما تلا ذلك من نزعة انفصالية بين الدويلات المختلفة</w:t>
      </w:r>
      <w:r w:rsidR="00D5686D">
        <w:rPr>
          <w:rStyle w:val="Appeldenotedefin"/>
          <w:rFonts w:ascii="Traditional Arabic" w:hAnsi="Traditional Arabic" w:cs="Traditional Arabic"/>
          <w:sz w:val="28"/>
          <w:szCs w:val="28"/>
          <w:rtl/>
          <w:lang w:bidi="ar-DZ"/>
        </w:rPr>
        <w:endnoteReference w:id="3"/>
      </w:r>
      <w:r w:rsidR="006D63CE">
        <w:rPr>
          <w:rFonts w:ascii="Traditional Arabic" w:hAnsi="Traditional Arabic" w:cs="Traditional Arabic" w:hint="cs"/>
          <w:sz w:val="28"/>
          <w:szCs w:val="28"/>
          <w:rtl/>
          <w:lang w:bidi="ar-DZ"/>
        </w:rPr>
        <w:t>.</w:t>
      </w:r>
    </w:p>
    <w:p w:rsidR="00D068D1" w:rsidRDefault="00D068D1" w:rsidP="00D068D1">
      <w:pPr>
        <w:bidi/>
        <w:spacing w:after="0" w:line="240" w:lineRule="auto"/>
        <w:ind w:firstLine="709"/>
        <w:jc w:val="both"/>
        <w:rPr>
          <w:rFonts w:ascii="Traditional Arabic" w:hAnsi="Traditional Arabic" w:cs="Traditional Arabic"/>
          <w:sz w:val="28"/>
          <w:szCs w:val="28"/>
          <w:rtl/>
          <w:lang w:bidi="ar-DZ"/>
        </w:rPr>
      </w:pPr>
    </w:p>
    <w:p w:rsidR="00D068D1" w:rsidRDefault="00D068D1" w:rsidP="00D068D1">
      <w:pPr>
        <w:bidi/>
        <w:spacing w:after="0" w:line="240" w:lineRule="auto"/>
        <w:ind w:firstLine="709"/>
        <w:jc w:val="both"/>
        <w:rPr>
          <w:rFonts w:ascii="Traditional Arabic" w:hAnsi="Traditional Arabic" w:cs="Traditional Arabic"/>
          <w:sz w:val="28"/>
          <w:szCs w:val="28"/>
          <w:rtl/>
          <w:lang w:bidi="ar-DZ"/>
        </w:rPr>
      </w:pPr>
      <w:r>
        <w:rPr>
          <w:rFonts w:ascii="Traditional Arabic" w:hAnsi="Traditional Arabic" w:cs="Traditional Arabic"/>
          <w:noProof/>
          <w:sz w:val="28"/>
          <w:szCs w:val="28"/>
          <w:rtl/>
          <w:lang w:eastAsia="fr-FR"/>
        </w:rPr>
        <w:drawing>
          <wp:inline distT="0" distB="0" distL="0" distR="0" wp14:anchorId="7590F7D3" wp14:editId="55805881">
            <wp:extent cx="3888000" cy="3113500"/>
            <wp:effectExtent l="0" t="0" r="0" b="0"/>
            <wp:docPr id="2" name="Image 2" descr="C:\Users\Acer\Downloads\اليونان القديم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اليونان القديمة.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8000" cy="3113500"/>
                    </a:xfrm>
                    <a:prstGeom prst="rect">
                      <a:avLst/>
                    </a:prstGeom>
                    <a:noFill/>
                    <a:ln>
                      <a:noFill/>
                    </a:ln>
                  </pic:spPr>
                </pic:pic>
              </a:graphicData>
            </a:graphic>
          </wp:inline>
        </w:drawing>
      </w:r>
    </w:p>
    <w:p w:rsidR="006D63CE" w:rsidRDefault="006D63CE" w:rsidP="006D63CE">
      <w:pPr>
        <w:bidi/>
        <w:spacing w:after="0" w:line="240" w:lineRule="auto"/>
        <w:ind w:firstLine="709"/>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3- مصادر دراسة تاريخ اليونان:</w:t>
      </w:r>
    </w:p>
    <w:p w:rsidR="006D63CE" w:rsidRDefault="006D63CE" w:rsidP="006D63CE">
      <w:pPr>
        <w:bidi/>
        <w:spacing w:after="0" w:line="240" w:lineRule="auto"/>
        <w:ind w:firstLine="709"/>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نعتمد في دراستنا للتاريخ على نوعين من المصادر: النوع الأول هي المصادر </w:t>
      </w:r>
      <w:r w:rsidR="00DC6B62">
        <w:rPr>
          <w:rFonts w:ascii="Traditional Arabic" w:hAnsi="Traditional Arabic" w:cs="Traditional Arabic" w:hint="cs"/>
          <w:sz w:val="28"/>
          <w:szCs w:val="28"/>
          <w:rtl/>
          <w:lang w:bidi="ar-DZ"/>
        </w:rPr>
        <w:t>الأثرية، وهي تشمل دراسة الوثائق البردية والنقوش والرسوم والعملات والأطلال الأثرية، سوء المنقوشة منها أو الصماء، والنوع الثاني هو المصادر الأدبية، وتضم المؤلفات القديمة التي كتبت في تاريخ فترة معاصرة للأحداث أو بعدها بمدة قصيرة أو طويلة. هذه المؤلفات لا تقتصر على كتابات المؤرخين فقط، وإنما تشمل أيضا ما كتبه الشعراء والفلاسفة والخطباء وكتّاب السير والجغرافيين</w:t>
      </w:r>
      <w:r w:rsidR="00074FDE">
        <w:rPr>
          <w:rStyle w:val="Appeldenotedefin"/>
          <w:rFonts w:ascii="Traditional Arabic" w:hAnsi="Traditional Arabic" w:cs="Traditional Arabic"/>
          <w:sz w:val="28"/>
          <w:szCs w:val="28"/>
          <w:rtl/>
          <w:lang w:bidi="ar-DZ"/>
        </w:rPr>
        <w:endnoteReference w:id="4"/>
      </w:r>
      <w:r w:rsidR="00DC6B62">
        <w:rPr>
          <w:rFonts w:ascii="Traditional Arabic" w:hAnsi="Traditional Arabic" w:cs="Traditional Arabic" w:hint="cs"/>
          <w:sz w:val="28"/>
          <w:szCs w:val="28"/>
          <w:rtl/>
          <w:lang w:bidi="ar-DZ"/>
        </w:rPr>
        <w:t>.</w:t>
      </w:r>
    </w:p>
    <w:p w:rsidR="006C6C95" w:rsidRDefault="00DC6B62" w:rsidP="00F20C0B">
      <w:pPr>
        <w:bidi/>
        <w:spacing w:after="0" w:line="240" w:lineRule="auto"/>
        <w:ind w:firstLine="709"/>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 xml:space="preserve">أ-المصادر المادية (الأثرية): </w:t>
      </w:r>
      <w:r>
        <w:rPr>
          <w:rFonts w:ascii="Traditional Arabic" w:hAnsi="Traditional Arabic" w:cs="Traditional Arabic" w:hint="cs"/>
          <w:sz w:val="28"/>
          <w:szCs w:val="28"/>
          <w:rtl/>
          <w:lang w:bidi="ar-DZ"/>
        </w:rPr>
        <w:t>مثل المنحوتات (والتي أكثرها على الحجارة) هي المصادر الأكثر دقة، وكذا بقايا المدن والصروح المبعثرة ، والنقود القديمة والصور المحفورة عليها</w:t>
      </w:r>
      <w:r w:rsidR="00074FDE">
        <w:rPr>
          <w:rStyle w:val="Appeldenotedefin"/>
          <w:rFonts w:ascii="Traditional Arabic" w:hAnsi="Traditional Arabic" w:cs="Traditional Arabic"/>
          <w:sz w:val="28"/>
          <w:szCs w:val="28"/>
          <w:rtl/>
          <w:lang w:bidi="ar-DZ"/>
        </w:rPr>
        <w:endnoteReference w:id="5"/>
      </w:r>
      <w:r>
        <w:rPr>
          <w:rFonts w:ascii="Traditional Arabic" w:hAnsi="Traditional Arabic" w:cs="Traditional Arabic" w:hint="cs"/>
          <w:sz w:val="28"/>
          <w:szCs w:val="28"/>
          <w:rtl/>
          <w:lang w:bidi="ar-DZ"/>
        </w:rPr>
        <w:t xml:space="preserve">. أو قد تكون مبني مثل </w:t>
      </w:r>
      <w:r w:rsidR="00F20C0B">
        <w:rPr>
          <w:rFonts w:ascii="Traditional Arabic" w:hAnsi="Traditional Arabic" w:cs="Traditional Arabic" w:hint="cs"/>
          <w:sz w:val="28"/>
          <w:szCs w:val="28"/>
          <w:rtl/>
          <w:lang w:bidi="ar-DZ"/>
        </w:rPr>
        <w:t>ا</w:t>
      </w:r>
      <w:r>
        <w:rPr>
          <w:rFonts w:ascii="Traditional Arabic" w:hAnsi="Traditional Arabic" w:cs="Traditional Arabic" w:hint="cs"/>
          <w:sz w:val="28"/>
          <w:szCs w:val="28"/>
          <w:rtl/>
          <w:lang w:bidi="ar-DZ"/>
        </w:rPr>
        <w:t>لقصور أو الحصون أو المعابد أو المنازل أو المقابر أو أدوات زينة أو أسلحة أو مصنوعات</w:t>
      </w:r>
      <w:r w:rsidR="00F20C0B">
        <w:rPr>
          <w:rFonts w:ascii="Traditional Arabic" w:hAnsi="Traditional Arabic" w:cs="Traditional Arabic" w:hint="cs"/>
          <w:sz w:val="28"/>
          <w:szCs w:val="28"/>
          <w:rtl/>
          <w:lang w:bidi="ar-DZ"/>
        </w:rPr>
        <w:t xml:space="preserve"> فخارية مثل الأواني والمزهريات. </w:t>
      </w:r>
      <w:r>
        <w:rPr>
          <w:rFonts w:ascii="Traditional Arabic" w:hAnsi="Traditional Arabic" w:cs="Traditional Arabic" w:hint="cs"/>
          <w:sz w:val="28"/>
          <w:szCs w:val="28"/>
          <w:rtl/>
          <w:lang w:bidi="ar-DZ"/>
        </w:rPr>
        <w:t>ومن أمثلة هذه المصادر في بلاد اليونان نجد</w:t>
      </w:r>
      <w:r w:rsidR="006C6C95">
        <w:rPr>
          <w:rFonts w:ascii="Traditional Arabic" w:hAnsi="Traditional Arabic" w:cs="Traditional Arabic" w:hint="cs"/>
          <w:sz w:val="28"/>
          <w:szCs w:val="28"/>
          <w:rtl/>
          <w:lang w:bidi="ar-DZ"/>
        </w:rPr>
        <w:t>:</w:t>
      </w:r>
    </w:p>
    <w:p w:rsidR="00DC6B62" w:rsidRDefault="006C6C95" w:rsidP="006C6C95">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w:t>
      </w:r>
      <w:r w:rsidR="00DC6B62">
        <w:rPr>
          <w:rFonts w:ascii="Traditional Arabic" w:hAnsi="Traditional Arabic" w:cs="Traditional Arabic" w:hint="cs"/>
          <w:sz w:val="28"/>
          <w:szCs w:val="28"/>
          <w:rtl/>
          <w:lang w:bidi="ar-DZ"/>
        </w:rPr>
        <w:t xml:space="preserve"> القصر الملكي الذي لا تزال آثاره موجودة في مدينة كنوسوس (</w:t>
      </w:r>
      <w:r w:rsidRPr="006C6C95">
        <w:rPr>
          <w:rFonts w:ascii="Traditional Arabic" w:hAnsi="Traditional Arabic" w:cs="Traditional Arabic"/>
          <w:sz w:val="24"/>
          <w:szCs w:val="24"/>
          <w:lang w:bidi="ar-DZ"/>
        </w:rPr>
        <w:t>Knossos</w:t>
      </w:r>
      <w:r w:rsidR="00DC6B62">
        <w:rPr>
          <w:rFonts w:ascii="Traditional Arabic" w:hAnsi="Traditional Arabic" w:cs="Traditional Arabic" w:hint="cs"/>
          <w:sz w:val="28"/>
          <w:szCs w:val="28"/>
          <w:rtl/>
          <w:lang w:bidi="ar-DZ"/>
        </w:rPr>
        <w:t>)على مقربة من الساحل الشمالي لجزية كريت حيث تمكن الأثريون من تأريخ بنائه إلى حوالي سنة  1600 ق.م، وهي الفترة التي زامنت بداية العصر المينوي المتأخر</w:t>
      </w:r>
      <w:r>
        <w:rPr>
          <w:rFonts w:ascii="Traditional Arabic" w:hAnsi="Traditional Arabic" w:cs="Traditional Arabic" w:hint="cs"/>
          <w:sz w:val="28"/>
          <w:szCs w:val="28"/>
          <w:rtl/>
          <w:lang w:bidi="ar-DZ"/>
        </w:rPr>
        <w:t>.</w:t>
      </w:r>
    </w:p>
    <w:p w:rsidR="006C6C95" w:rsidRDefault="006C6C95" w:rsidP="006C6C95">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-معبد البارثينون </w:t>
      </w:r>
      <w:r w:rsidRPr="006C6C95">
        <w:rPr>
          <w:rFonts w:ascii="Traditional Arabic" w:hAnsi="Traditional Arabic" w:cs="Traditional Arabic" w:hint="cs"/>
          <w:sz w:val="24"/>
          <w:szCs w:val="24"/>
          <w:rtl/>
          <w:lang w:bidi="ar-DZ"/>
        </w:rPr>
        <w:t>(</w:t>
      </w:r>
      <w:r w:rsidRPr="006C6C95">
        <w:rPr>
          <w:rFonts w:ascii="Traditional Arabic" w:hAnsi="Traditional Arabic" w:cs="Traditional Arabic"/>
          <w:sz w:val="24"/>
          <w:szCs w:val="24"/>
          <w:lang w:bidi="ar-DZ"/>
        </w:rPr>
        <w:t>Parthenon</w:t>
      </w:r>
      <w:r>
        <w:rPr>
          <w:rFonts w:ascii="Traditional Arabic" w:hAnsi="Traditional Arabic" w:cs="Traditional Arabic" w:hint="cs"/>
          <w:sz w:val="28"/>
          <w:szCs w:val="28"/>
          <w:rtl/>
          <w:lang w:bidi="ar-DZ"/>
        </w:rPr>
        <w:t>) الموجود في الأكروبوليس (</w:t>
      </w:r>
      <w:r w:rsidRPr="006C6C95">
        <w:rPr>
          <w:rFonts w:ascii="Traditional Arabic" w:hAnsi="Traditional Arabic" w:cs="Traditional Arabic"/>
          <w:sz w:val="24"/>
          <w:szCs w:val="24"/>
          <w:lang w:bidi="ar-DZ"/>
        </w:rPr>
        <w:t>Akropolis</w:t>
      </w:r>
      <w:r>
        <w:rPr>
          <w:rFonts w:ascii="Traditional Arabic" w:hAnsi="Traditional Arabic" w:cs="Traditional Arabic" w:hint="cs"/>
          <w:sz w:val="28"/>
          <w:szCs w:val="28"/>
          <w:rtl/>
          <w:lang w:bidi="ar-DZ"/>
        </w:rPr>
        <w:t>) في آثينا الذي اكتمال عام 438 ق.م.</w:t>
      </w:r>
    </w:p>
    <w:p w:rsidR="006C6C95" w:rsidRDefault="006C6C95" w:rsidP="006C6C95">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-المسرح الذي لا تزال أغلب أقسامه قائمة في مدينة ابيداروس (</w:t>
      </w:r>
      <w:r w:rsidR="000E4248" w:rsidRPr="00420233">
        <w:rPr>
          <w:rFonts w:ascii="Traditional Arabic" w:hAnsi="Traditional Arabic" w:cs="Traditional Arabic"/>
          <w:sz w:val="24"/>
          <w:szCs w:val="24"/>
          <w:lang w:bidi="ar-DZ"/>
        </w:rPr>
        <w:t>Epidauros</w:t>
      </w:r>
      <w:r>
        <w:rPr>
          <w:rFonts w:ascii="Traditional Arabic" w:hAnsi="Traditional Arabic" w:cs="Traditional Arabic" w:hint="cs"/>
          <w:sz w:val="28"/>
          <w:szCs w:val="28"/>
          <w:rtl/>
          <w:lang w:bidi="ar-DZ"/>
        </w:rPr>
        <w:t>) في  شبه جزيرة البوليبونيز</w:t>
      </w:r>
      <w:r w:rsidR="00074FDE">
        <w:rPr>
          <w:rStyle w:val="Appeldenotedefin"/>
          <w:rFonts w:ascii="Traditional Arabic" w:hAnsi="Traditional Arabic" w:cs="Traditional Arabic"/>
          <w:sz w:val="28"/>
          <w:szCs w:val="28"/>
          <w:rtl/>
          <w:lang w:bidi="ar-DZ"/>
        </w:rPr>
        <w:endnoteReference w:id="6"/>
      </w:r>
      <w:r w:rsidR="00420233">
        <w:rPr>
          <w:rFonts w:ascii="Traditional Arabic" w:hAnsi="Traditional Arabic" w:cs="Traditional Arabic" w:hint="cs"/>
          <w:sz w:val="28"/>
          <w:szCs w:val="28"/>
          <w:rtl/>
          <w:lang w:bidi="ar-DZ"/>
        </w:rPr>
        <w:t>.</w:t>
      </w:r>
    </w:p>
    <w:p w:rsidR="00F20C0B" w:rsidRDefault="00F20C0B" w:rsidP="00F20C0B">
      <w:pPr>
        <w:bidi/>
        <w:spacing w:after="0" w:line="240" w:lineRule="auto"/>
        <w:jc w:val="both"/>
        <w:rPr>
          <w:rFonts w:ascii="Traditional Arabic" w:hAnsi="Traditional Arabic" w:cs="Traditional Arabic"/>
          <w:sz w:val="28"/>
          <w:szCs w:val="28"/>
          <w:rtl/>
          <w:lang w:bidi="ar-DZ"/>
        </w:rPr>
      </w:pPr>
    </w:p>
    <w:p w:rsidR="00D068D1" w:rsidRDefault="00D068D1" w:rsidP="00D068D1">
      <w:pPr>
        <w:bidi/>
        <w:spacing w:after="0" w:line="240" w:lineRule="auto"/>
        <w:jc w:val="center"/>
        <w:rPr>
          <w:rFonts w:ascii="Traditional Arabic" w:hAnsi="Traditional Arabic" w:cs="Traditional Arabic"/>
          <w:sz w:val="28"/>
          <w:szCs w:val="28"/>
          <w:rtl/>
          <w:lang w:bidi="ar-DZ"/>
        </w:rPr>
      </w:pPr>
      <w:r>
        <w:rPr>
          <w:rFonts w:ascii="Traditional Arabic" w:hAnsi="Traditional Arabic" w:cs="Traditional Arabic"/>
          <w:noProof/>
          <w:sz w:val="28"/>
          <w:szCs w:val="28"/>
          <w:rtl/>
          <w:lang w:eastAsia="fr-FR"/>
        </w:rPr>
        <w:drawing>
          <wp:inline distT="0" distB="0" distL="0" distR="0" wp14:anchorId="37D03AA2" wp14:editId="4A6636A9">
            <wp:extent cx="3600000" cy="2522250"/>
            <wp:effectExtent l="0" t="0" r="635" b="0"/>
            <wp:docPr id="3" name="Image 3" descr="C:\Users\Acer\Download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2522250"/>
                    </a:xfrm>
                    <a:prstGeom prst="rect">
                      <a:avLst/>
                    </a:prstGeom>
                    <a:noFill/>
                    <a:ln>
                      <a:noFill/>
                    </a:ln>
                  </pic:spPr>
                </pic:pic>
              </a:graphicData>
            </a:graphic>
          </wp:inline>
        </w:drawing>
      </w:r>
    </w:p>
    <w:p w:rsidR="00D068D1" w:rsidRPr="00D068D1" w:rsidRDefault="00D068D1" w:rsidP="00D068D1">
      <w:pPr>
        <w:bidi/>
        <w:spacing w:after="0" w:line="240" w:lineRule="auto"/>
        <w:jc w:val="center"/>
        <w:rPr>
          <w:rFonts w:ascii="Traditional Arabic" w:hAnsi="Traditional Arabic" w:cs="Traditional Arabic"/>
          <w:b/>
          <w:bCs/>
          <w:sz w:val="24"/>
          <w:szCs w:val="24"/>
          <w:rtl/>
          <w:lang w:bidi="ar-DZ"/>
        </w:rPr>
      </w:pPr>
      <w:r w:rsidRPr="00D068D1">
        <w:rPr>
          <w:rFonts w:ascii="Traditional Arabic" w:hAnsi="Traditional Arabic" w:cs="Traditional Arabic" w:hint="cs"/>
          <w:b/>
          <w:bCs/>
          <w:sz w:val="32"/>
          <w:szCs w:val="32"/>
          <w:rtl/>
          <w:lang w:bidi="ar-DZ"/>
        </w:rPr>
        <w:t>-معبد البارثينون</w:t>
      </w:r>
    </w:p>
    <w:p w:rsidR="000E4248" w:rsidRDefault="000E4248" w:rsidP="000E4248">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ب-المصادر الكتابية:</w:t>
      </w:r>
    </w:p>
    <w:p w:rsidR="00C81A48" w:rsidRDefault="000E4248" w:rsidP="000E4248">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 xml:space="preserve">-المصادر الكتابية المباشرة: </w:t>
      </w:r>
      <w:r>
        <w:rPr>
          <w:rFonts w:ascii="Traditional Arabic" w:hAnsi="Traditional Arabic" w:cs="Traditional Arabic" w:hint="cs"/>
          <w:sz w:val="28"/>
          <w:szCs w:val="28"/>
          <w:rtl/>
          <w:lang w:bidi="ar-DZ"/>
        </w:rPr>
        <w:t xml:space="preserve"> وهي الكتابات التي يحاول أصحابها أن يصفوا لنا بها بشكل مباشر شخصا أو حدثا أو مكانا. وأول هؤلاء المؤرخون نجد:</w:t>
      </w:r>
    </w:p>
    <w:p w:rsidR="000E4248" w:rsidRDefault="00975369" w:rsidP="00C81A48">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w:t>
      </w:r>
      <w:r>
        <w:rPr>
          <w:rFonts w:ascii="Traditional Arabic" w:hAnsi="Traditional Arabic" w:cs="Traditional Arabic" w:hint="cs"/>
          <w:b/>
          <w:bCs/>
          <w:sz w:val="28"/>
          <w:szCs w:val="28"/>
          <w:rtl/>
          <w:lang w:bidi="ar-DZ"/>
        </w:rPr>
        <w:t>هيرودوت</w:t>
      </w:r>
      <w:r w:rsidR="00420233">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w:t>
      </w:r>
      <w:r w:rsidRPr="00420233">
        <w:rPr>
          <w:rFonts w:ascii="Traditional Arabic" w:hAnsi="Traditional Arabic" w:cs="Traditional Arabic"/>
          <w:b/>
          <w:bCs/>
          <w:sz w:val="24"/>
          <w:szCs w:val="24"/>
          <w:lang w:bidi="ar-DZ"/>
        </w:rPr>
        <w:t>Herodotos</w:t>
      </w:r>
      <w:r>
        <w:rPr>
          <w:rFonts w:ascii="Traditional Arabic" w:hAnsi="Traditional Arabic" w:cs="Traditional Arabic" w:hint="cs"/>
          <w:b/>
          <w:bCs/>
          <w:sz w:val="28"/>
          <w:szCs w:val="28"/>
          <w:rtl/>
          <w:lang w:bidi="ar-DZ"/>
        </w:rPr>
        <w:t>) (</w:t>
      </w:r>
      <w:r>
        <w:rPr>
          <w:rFonts w:ascii="Traditional Arabic" w:hAnsi="Traditional Arabic" w:cs="Traditional Arabic"/>
          <w:b/>
          <w:bCs/>
          <w:sz w:val="28"/>
          <w:szCs w:val="28"/>
          <w:lang w:bidi="ar-DZ"/>
        </w:rPr>
        <w:t xml:space="preserve">484-425 </w:t>
      </w:r>
      <w:r>
        <w:rPr>
          <w:rFonts w:ascii="Traditional Arabic" w:hAnsi="Traditional Arabic" w:cs="Traditional Arabic" w:hint="cs"/>
          <w:b/>
          <w:bCs/>
          <w:sz w:val="28"/>
          <w:szCs w:val="28"/>
          <w:rtl/>
          <w:lang w:bidi="ar-DZ"/>
        </w:rPr>
        <w:t xml:space="preserve">ق.م): </w:t>
      </w:r>
      <w:r>
        <w:rPr>
          <w:rFonts w:ascii="Traditional Arabic" w:hAnsi="Traditional Arabic" w:cs="Traditional Arabic" w:hint="cs"/>
          <w:sz w:val="28"/>
          <w:szCs w:val="28"/>
          <w:rtl/>
          <w:lang w:bidi="ar-DZ"/>
        </w:rPr>
        <w:t xml:space="preserve"> يتضمن تاريخه تسعة (9) كتب تخص الثلاثة الأولى منها تاريخ شعوب آسيا الوسطى، الفرس، آشوريا، مصر والبلدان المجاورة، ويصف الكتاب الرابع سيثيا (</w:t>
      </w:r>
      <w:r w:rsidR="00420233" w:rsidRPr="00420233">
        <w:rPr>
          <w:rFonts w:ascii="Traditional Arabic" w:hAnsi="Traditional Arabic" w:cs="Traditional Arabic"/>
          <w:sz w:val="24"/>
          <w:szCs w:val="24"/>
          <w:lang w:bidi="ar-DZ"/>
        </w:rPr>
        <w:t>Sythie</w:t>
      </w:r>
      <w:r>
        <w:rPr>
          <w:rFonts w:ascii="Traditional Arabic" w:hAnsi="Traditional Arabic" w:cs="Traditional Arabic" w:hint="cs"/>
          <w:sz w:val="28"/>
          <w:szCs w:val="28"/>
          <w:rtl/>
          <w:lang w:bidi="ar-DZ"/>
        </w:rPr>
        <w:t>)، وخصت الكتب الباقية (5-9) للحروب  الميدية.</w:t>
      </w:r>
    </w:p>
    <w:p w:rsidR="00C81A48" w:rsidRDefault="00C81A48" w:rsidP="00C81A48">
      <w:pPr>
        <w:bidi/>
        <w:spacing w:after="0" w:line="240" w:lineRule="auto"/>
        <w:jc w:val="both"/>
        <w:rPr>
          <w:rFonts w:ascii="Traditional Arabic" w:hAnsi="Traditional Arabic" w:cs="Traditional Arabic"/>
          <w:b/>
          <w:bCs/>
          <w:sz w:val="24"/>
          <w:szCs w:val="24"/>
          <w:rtl/>
          <w:lang w:bidi="ar-DZ"/>
        </w:rPr>
      </w:pPr>
      <w:r>
        <w:rPr>
          <w:rFonts w:ascii="Traditional Arabic" w:hAnsi="Traditional Arabic" w:cs="Traditional Arabic"/>
          <w:noProof/>
          <w:sz w:val="28"/>
          <w:szCs w:val="28"/>
          <w:rtl/>
          <w:lang w:eastAsia="fr-FR"/>
        </w:rPr>
        <w:drawing>
          <wp:inline distT="0" distB="0" distL="0" distR="0" wp14:anchorId="4E4BDB1E" wp14:editId="4F21F30D">
            <wp:extent cx="1440000" cy="2160000"/>
            <wp:effectExtent l="0" t="0" r="8255" b="0"/>
            <wp:docPr id="4" name="Image 4" descr="C:\Users\Acer\Downloads\1200px-Herodotos_Met_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1200px-Herodotos_Met_9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rPr>
          <w:rFonts w:ascii="Traditional Arabic" w:hAnsi="Traditional Arabic" w:cs="Traditional Arabic" w:hint="cs"/>
          <w:sz w:val="28"/>
          <w:szCs w:val="28"/>
          <w:rtl/>
          <w:lang w:bidi="ar-DZ"/>
        </w:rPr>
        <w:t xml:space="preserve">   </w:t>
      </w:r>
      <w:r w:rsidRPr="00C81A48">
        <w:rPr>
          <w:rFonts w:ascii="Traditional Arabic" w:hAnsi="Traditional Arabic" w:cs="Traditional Arabic" w:hint="cs"/>
          <w:b/>
          <w:bCs/>
          <w:sz w:val="24"/>
          <w:szCs w:val="24"/>
          <w:rtl/>
          <w:lang w:bidi="ar-DZ"/>
        </w:rPr>
        <w:t>-تمثال يمثل نحت نصفي لهيرودوت</w:t>
      </w:r>
    </w:p>
    <w:p w:rsidR="00C81A48" w:rsidRPr="00C81A48" w:rsidRDefault="00C81A48" w:rsidP="00C81A48">
      <w:pPr>
        <w:bidi/>
        <w:spacing w:after="0" w:line="240" w:lineRule="auto"/>
        <w:jc w:val="both"/>
        <w:rPr>
          <w:rFonts w:ascii="Traditional Arabic" w:hAnsi="Traditional Arabic" w:cs="Traditional Arabic"/>
          <w:sz w:val="28"/>
          <w:szCs w:val="28"/>
          <w:rtl/>
          <w:lang w:bidi="ar-DZ"/>
        </w:rPr>
      </w:pPr>
    </w:p>
    <w:p w:rsidR="00975369" w:rsidRDefault="00975369" w:rsidP="00975369">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-ثوسيديت (</w:t>
      </w:r>
      <w:r w:rsidR="00420233" w:rsidRPr="00420233">
        <w:rPr>
          <w:rFonts w:ascii="Traditional Arabic" w:hAnsi="Traditional Arabic" w:cs="Traditional Arabic"/>
          <w:b/>
          <w:bCs/>
          <w:sz w:val="24"/>
          <w:szCs w:val="24"/>
          <w:lang w:bidi="ar-DZ"/>
        </w:rPr>
        <w:t>Thukydides</w:t>
      </w:r>
      <w:r>
        <w:rPr>
          <w:rFonts w:ascii="Traditional Arabic" w:hAnsi="Traditional Arabic" w:cs="Traditional Arabic" w:hint="cs"/>
          <w:b/>
          <w:bCs/>
          <w:sz w:val="28"/>
          <w:szCs w:val="28"/>
          <w:rtl/>
          <w:lang w:bidi="ar-DZ"/>
        </w:rPr>
        <w:t>) (حوالي</w:t>
      </w:r>
      <w:r w:rsidRPr="00F20C0B">
        <w:rPr>
          <w:rFonts w:ascii="Traditional Arabic" w:hAnsi="Traditional Arabic" w:cs="Traditional Arabic" w:hint="cs"/>
          <w:b/>
          <w:bCs/>
          <w:sz w:val="24"/>
          <w:szCs w:val="24"/>
          <w:rtl/>
          <w:lang w:bidi="ar-DZ"/>
        </w:rPr>
        <w:t xml:space="preserve"> 460-390 </w:t>
      </w:r>
      <w:r>
        <w:rPr>
          <w:rFonts w:ascii="Traditional Arabic" w:hAnsi="Traditional Arabic" w:cs="Traditional Arabic" w:hint="cs"/>
          <w:b/>
          <w:bCs/>
          <w:sz w:val="28"/>
          <w:szCs w:val="28"/>
          <w:rtl/>
          <w:lang w:bidi="ar-DZ"/>
        </w:rPr>
        <w:t xml:space="preserve">ق,م): </w:t>
      </w:r>
      <w:r>
        <w:rPr>
          <w:rFonts w:ascii="Traditional Arabic" w:hAnsi="Traditional Arabic" w:cs="Traditional Arabic" w:hint="cs"/>
          <w:sz w:val="28"/>
          <w:szCs w:val="28"/>
          <w:rtl/>
          <w:lang w:bidi="ar-DZ"/>
        </w:rPr>
        <w:t>في تاريخ حروب البوليبونيز المؤلف من 8 كتب والذي لم يصلنا كله</w:t>
      </w:r>
      <w:r w:rsidR="00074FDE">
        <w:rPr>
          <w:rStyle w:val="Appeldenotedefin"/>
          <w:rFonts w:ascii="Traditional Arabic" w:hAnsi="Traditional Arabic" w:cs="Traditional Arabic"/>
          <w:sz w:val="28"/>
          <w:szCs w:val="28"/>
          <w:rtl/>
          <w:lang w:bidi="ar-DZ"/>
        </w:rPr>
        <w:endnoteReference w:id="7"/>
      </w:r>
      <w:r>
        <w:rPr>
          <w:rFonts w:ascii="Traditional Arabic" w:hAnsi="Traditional Arabic" w:cs="Traditional Arabic" w:hint="cs"/>
          <w:sz w:val="28"/>
          <w:szCs w:val="28"/>
          <w:rtl/>
          <w:lang w:bidi="ar-DZ"/>
        </w:rPr>
        <w:t>.</w:t>
      </w:r>
    </w:p>
    <w:p w:rsidR="00975369" w:rsidRDefault="00975369" w:rsidP="00975369">
      <w:pPr>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b/>
          <w:bCs/>
          <w:sz w:val="28"/>
          <w:szCs w:val="28"/>
          <w:rtl/>
          <w:lang w:bidi="ar-DZ"/>
        </w:rPr>
        <w:t>-كسينوفون (</w:t>
      </w:r>
      <w:r w:rsidR="00420233" w:rsidRPr="00420233">
        <w:rPr>
          <w:rFonts w:ascii="Traditional Arabic" w:hAnsi="Traditional Arabic" w:cs="Traditional Arabic"/>
          <w:b/>
          <w:bCs/>
          <w:sz w:val="24"/>
          <w:szCs w:val="24"/>
          <w:lang w:bidi="ar-DZ"/>
        </w:rPr>
        <w:t>Xenophon</w:t>
      </w:r>
      <w:r>
        <w:rPr>
          <w:rFonts w:ascii="Traditional Arabic" w:hAnsi="Traditional Arabic" w:cs="Traditional Arabic" w:hint="cs"/>
          <w:b/>
          <w:bCs/>
          <w:sz w:val="28"/>
          <w:szCs w:val="28"/>
          <w:rtl/>
          <w:lang w:bidi="ar-DZ"/>
        </w:rPr>
        <w:t xml:space="preserve">): </w:t>
      </w:r>
      <w:r>
        <w:rPr>
          <w:rFonts w:ascii="Traditional Arabic" w:hAnsi="Traditional Arabic" w:cs="Traditional Arabic" w:hint="cs"/>
          <w:sz w:val="28"/>
          <w:szCs w:val="28"/>
          <w:rtl/>
          <w:lang w:bidi="ar-DZ"/>
        </w:rPr>
        <w:t>وقد ظهر في أواخر القرن الخامس قبل الميلاد، والشطر الأول من القرن الرابع قبل الميلاد، وكتب عدة كتب من تاريخ بلاد ا</w:t>
      </w:r>
      <w:r w:rsidR="00F20C0B">
        <w:rPr>
          <w:rFonts w:ascii="Traditional Arabic" w:hAnsi="Traditional Arabic" w:cs="Traditional Arabic" w:hint="cs"/>
          <w:sz w:val="28"/>
          <w:szCs w:val="28"/>
          <w:rtl/>
          <w:lang w:bidi="ar-DZ"/>
        </w:rPr>
        <w:t>ل</w:t>
      </w:r>
      <w:r>
        <w:rPr>
          <w:rFonts w:ascii="Traditional Arabic" w:hAnsi="Traditional Arabic" w:cs="Traditional Arabic" w:hint="cs"/>
          <w:sz w:val="28"/>
          <w:szCs w:val="28"/>
          <w:rtl/>
          <w:lang w:bidi="ar-DZ"/>
        </w:rPr>
        <w:t xml:space="preserve">يونان ونُظمها وعن تنشئة الملك قورش الفارسي </w:t>
      </w:r>
      <w:r w:rsidRPr="00975369">
        <w:rPr>
          <w:rFonts w:ascii="Traditional Arabic" w:hAnsi="Traditional Arabic" w:cs="Traditional Arabic" w:hint="cs"/>
          <w:sz w:val="28"/>
          <w:szCs w:val="28"/>
          <w:rtl/>
          <w:lang w:bidi="ar-DZ"/>
        </w:rPr>
        <w:t>وعن</w:t>
      </w:r>
      <w:r w:rsidRPr="00975369">
        <w:rPr>
          <w:rFonts w:ascii="Traditional Arabic" w:hAnsi="Traditional Arabic" w:cs="Traditional Arabic"/>
          <w:sz w:val="28"/>
          <w:szCs w:val="28"/>
          <w:rtl/>
          <w:lang w:bidi="ar-DZ"/>
        </w:rPr>
        <w:t xml:space="preserve"> </w:t>
      </w:r>
      <w:r w:rsidRPr="00975369">
        <w:rPr>
          <w:rFonts w:ascii="Traditional Arabic" w:hAnsi="Traditional Arabic" w:cs="Traditional Arabic" w:hint="cs"/>
          <w:sz w:val="28"/>
          <w:szCs w:val="28"/>
          <w:rtl/>
          <w:lang w:bidi="ar-DZ"/>
        </w:rPr>
        <w:t>موضوعات</w:t>
      </w:r>
      <w:r>
        <w:rPr>
          <w:rFonts w:ascii="Traditional Arabic" w:hAnsi="Traditional Arabic" w:cs="Traditional Arabic" w:hint="cs"/>
          <w:sz w:val="28"/>
          <w:szCs w:val="28"/>
          <w:rtl/>
          <w:lang w:bidi="ar-DZ"/>
        </w:rPr>
        <w:t xml:space="preserve"> مختلفة بعضها عسكري أو اقتصادي أو اجتماعي.</w:t>
      </w:r>
    </w:p>
    <w:p w:rsidR="00975369" w:rsidRDefault="00975369" w:rsidP="00420233">
      <w:pPr>
        <w:bidi/>
        <w:spacing w:after="0" w:line="240" w:lineRule="auto"/>
        <w:jc w:val="both"/>
        <w:rPr>
          <w:rFonts w:ascii="Traditional Arabic" w:hAnsi="Traditional Arabic" w:cs="Traditional Arabic"/>
          <w:smallCaps/>
          <w:sz w:val="28"/>
          <w:szCs w:val="28"/>
          <w:rtl/>
          <w:lang w:bidi="ar-DZ"/>
        </w:rPr>
      </w:pPr>
      <w:r>
        <w:rPr>
          <w:rFonts w:ascii="Traditional Arabic" w:hAnsi="Traditional Arabic" w:cs="Traditional Arabic" w:hint="cs"/>
          <w:sz w:val="28"/>
          <w:szCs w:val="28"/>
          <w:rtl/>
          <w:lang w:bidi="ar-DZ"/>
        </w:rPr>
        <w:t>اضافة إلى كتابات المؤرخين، هناك الخطب التي كان يلقيها الخطباء اليونانيون</w:t>
      </w:r>
      <w:r w:rsidR="00420233">
        <w:rPr>
          <w:rFonts w:ascii="Traditional Arabic" w:hAnsi="Traditional Arabic" w:cs="Traditional Arabic" w:hint="cs"/>
          <w:smallCaps/>
          <w:sz w:val="28"/>
          <w:szCs w:val="28"/>
          <w:rtl/>
          <w:lang w:bidi="ar-DZ"/>
        </w:rPr>
        <w:t xml:space="preserve"> وقد كانوا كثيرين يتحدثون فيها أمام المجالس الشعبية والهيئات السياسية والقضائية. من أشهر ما وصل الينا تلك الخطب المنسوبة إلى بريكليس (</w:t>
      </w:r>
      <w:r w:rsidR="00420233">
        <w:rPr>
          <w:rFonts w:ascii="Traditional Arabic" w:hAnsi="Traditional Arabic" w:cs="Traditional Arabic"/>
          <w:smallCaps/>
          <w:sz w:val="28"/>
          <w:szCs w:val="28"/>
          <w:lang w:bidi="ar-DZ"/>
        </w:rPr>
        <w:t>Perikles</w:t>
      </w:r>
      <w:r w:rsidR="00420233">
        <w:rPr>
          <w:rFonts w:ascii="Traditional Arabic" w:hAnsi="Traditional Arabic" w:cs="Traditional Arabic" w:hint="cs"/>
          <w:smallCaps/>
          <w:sz w:val="28"/>
          <w:szCs w:val="28"/>
          <w:rtl/>
          <w:lang w:bidi="ar-DZ"/>
        </w:rPr>
        <w:t xml:space="preserve">) الزعيم الاثيني الذي استكمل النظام الديمقراطي في </w:t>
      </w:r>
      <w:r w:rsidR="00F20C0B">
        <w:rPr>
          <w:rFonts w:ascii="Traditional Arabic" w:hAnsi="Traditional Arabic" w:cs="Traditional Arabic" w:hint="cs"/>
          <w:smallCaps/>
          <w:sz w:val="28"/>
          <w:szCs w:val="28"/>
          <w:rtl/>
          <w:lang w:bidi="ar-DZ"/>
        </w:rPr>
        <w:t>ال</w:t>
      </w:r>
      <w:r w:rsidR="00420233">
        <w:rPr>
          <w:rFonts w:ascii="Traditional Arabic" w:hAnsi="Traditional Arabic" w:cs="Traditional Arabic" w:hint="cs"/>
          <w:smallCaps/>
          <w:sz w:val="28"/>
          <w:szCs w:val="28"/>
          <w:rtl/>
          <w:lang w:bidi="ar-DZ"/>
        </w:rPr>
        <w:t>مجتمع الأثيني في النصف الثاني من القرن الخامس قبل الميلاد. وكذا ديموسيثنيس (</w:t>
      </w:r>
      <w:r w:rsidR="00420233">
        <w:rPr>
          <w:rFonts w:ascii="Traditional Arabic" w:hAnsi="Traditional Arabic" w:cs="Traditional Arabic"/>
          <w:smallCaps/>
          <w:sz w:val="28"/>
          <w:szCs w:val="28"/>
          <w:lang w:bidi="ar-DZ"/>
        </w:rPr>
        <w:t>Demosthenes</w:t>
      </w:r>
      <w:r w:rsidR="00420233">
        <w:rPr>
          <w:rFonts w:ascii="Traditional Arabic" w:hAnsi="Traditional Arabic" w:cs="Traditional Arabic" w:hint="cs"/>
          <w:smallCaps/>
          <w:sz w:val="28"/>
          <w:szCs w:val="28"/>
          <w:rtl/>
          <w:lang w:bidi="ar-DZ"/>
        </w:rPr>
        <w:t>) الخطيب والسياسي الأثيني الذي ظهر في أواسط القرن الرابع قبل الميلاد.</w:t>
      </w:r>
    </w:p>
    <w:p w:rsidR="00420233" w:rsidRDefault="00420233" w:rsidP="00420233">
      <w:pPr>
        <w:bidi/>
        <w:spacing w:after="0" w:line="240" w:lineRule="auto"/>
        <w:jc w:val="both"/>
        <w:rPr>
          <w:rFonts w:ascii="Traditional Arabic" w:hAnsi="Traditional Arabic" w:cs="Traditional Arabic"/>
          <w:smallCaps/>
          <w:sz w:val="28"/>
          <w:szCs w:val="28"/>
          <w:rtl/>
          <w:lang w:bidi="ar-DZ"/>
        </w:rPr>
      </w:pPr>
      <w:r>
        <w:rPr>
          <w:rFonts w:ascii="Traditional Arabic" w:hAnsi="Traditional Arabic" w:cs="Traditional Arabic" w:hint="cs"/>
          <w:smallCaps/>
          <w:sz w:val="28"/>
          <w:szCs w:val="28"/>
          <w:rtl/>
          <w:lang w:bidi="ar-DZ"/>
        </w:rPr>
        <w:t>وإلى جانب الخطباء هناك الفلاسفة أمثال أفلاطون وأرسطو</w:t>
      </w:r>
      <w:r w:rsidR="00074FDE">
        <w:rPr>
          <w:rStyle w:val="Appeldenotedefin"/>
          <w:rFonts w:ascii="Traditional Arabic" w:hAnsi="Traditional Arabic" w:cs="Traditional Arabic"/>
          <w:smallCaps/>
          <w:sz w:val="28"/>
          <w:szCs w:val="28"/>
          <w:rtl/>
          <w:lang w:bidi="ar-DZ"/>
        </w:rPr>
        <w:endnoteReference w:id="8"/>
      </w:r>
      <w:r>
        <w:rPr>
          <w:rFonts w:ascii="Traditional Arabic" w:hAnsi="Traditional Arabic" w:cs="Traditional Arabic" w:hint="cs"/>
          <w:smallCaps/>
          <w:sz w:val="28"/>
          <w:szCs w:val="28"/>
          <w:rtl/>
          <w:lang w:bidi="ar-DZ"/>
        </w:rPr>
        <w:t>.</w:t>
      </w:r>
    </w:p>
    <w:p w:rsidR="00420233" w:rsidRDefault="00420233" w:rsidP="00420233">
      <w:pPr>
        <w:bidi/>
        <w:spacing w:after="0" w:line="240" w:lineRule="auto"/>
        <w:jc w:val="both"/>
        <w:rPr>
          <w:rFonts w:ascii="Traditional Arabic" w:hAnsi="Traditional Arabic" w:cs="Traditional Arabic"/>
          <w:smallCaps/>
          <w:sz w:val="28"/>
          <w:szCs w:val="28"/>
          <w:rtl/>
          <w:lang w:bidi="ar-DZ"/>
        </w:rPr>
      </w:pPr>
      <w:r>
        <w:rPr>
          <w:rFonts w:ascii="Traditional Arabic" w:hAnsi="Traditional Arabic" w:cs="Traditional Arabic" w:hint="cs"/>
          <w:b/>
          <w:bCs/>
          <w:smallCaps/>
          <w:sz w:val="28"/>
          <w:szCs w:val="28"/>
          <w:rtl/>
          <w:lang w:bidi="ar-DZ"/>
        </w:rPr>
        <w:t xml:space="preserve">ب-المصادر الكتابية غير المباشرة (الأدب): </w:t>
      </w:r>
      <w:r>
        <w:rPr>
          <w:rFonts w:ascii="Traditional Arabic" w:hAnsi="Traditional Arabic" w:cs="Traditional Arabic" w:hint="cs"/>
          <w:smallCaps/>
          <w:sz w:val="28"/>
          <w:szCs w:val="28"/>
          <w:rtl/>
          <w:lang w:bidi="ar-DZ"/>
        </w:rPr>
        <w:t>ويضم كل ما وصلنا من انتاج الأدباء من أغاني وأشعار ومسرحيات وبكل ما تضمنته هذه الأخيرة من أفك</w:t>
      </w:r>
      <w:r w:rsidR="00F20C0B">
        <w:rPr>
          <w:rFonts w:ascii="Traditional Arabic" w:hAnsi="Traditional Arabic" w:cs="Traditional Arabic" w:hint="cs"/>
          <w:smallCaps/>
          <w:sz w:val="28"/>
          <w:szCs w:val="28"/>
          <w:rtl/>
          <w:lang w:bidi="ar-DZ"/>
        </w:rPr>
        <w:t>ا</w:t>
      </w:r>
      <w:r>
        <w:rPr>
          <w:rFonts w:ascii="Traditional Arabic" w:hAnsi="Traditional Arabic" w:cs="Traditional Arabic" w:hint="cs"/>
          <w:smallCaps/>
          <w:sz w:val="28"/>
          <w:szCs w:val="28"/>
          <w:rtl/>
          <w:lang w:bidi="ar-DZ"/>
        </w:rPr>
        <w:t>ر وحقائق وخيالات وحتى أوهام وخرافات وأساطير. إلى جانب الملاحم مثل الإلياذة والأوديسة المنسوبتان إلى الشاعر هوميروس</w:t>
      </w:r>
      <w:r w:rsidR="007072A6">
        <w:rPr>
          <w:rFonts w:ascii="Traditional Arabic" w:hAnsi="Traditional Arabic" w:cs="Traditional Arabic" w:hint="cs"/>
          <w:smallCaps/>
          <w:sz w:val="28"/>
          <w:szCs w:val="28"/>
          <w:rtl/>
          <w:lang w:bidi="ar-DZ"/>
        </w:rPr>
        <w:t>، وهما قصيدتان ترسمان لوحة بليغة عن حياة الشعب اليوناني منذ فجر تاريخه</w:t>
      </w:r>
      <w:r w:rsidR="00E131E4">
        <w:rPr>
          <w:rFonts w:ascii="Traditional Arabic" w:hAnsi="Traditional Arabic" w:cs="Traditional Arabic" w:hint="cs"/>
          <w:smallCaps/>
          <w:sz w:val="28"/>
          <w:szCs w:val="28"/>
          <w:rtl/>
          <w:lang w:bidi="ar-DZ"/>
        </w:rPr>
        <w:t xml:space="preserve"> من القرن ال12 إلى القرن ال8 قبل الميلاد. وفي نهاية القرن ال8_-القرن ال7 قبل الميلاد نبغ عدد من الشعراء اليونان منهم هيزيود</w:t>
      </w:r>
      <w:r w:rsidR="00074FDE">
        <w:rPr>
          <w:rStyle w:val="Appeldenotedefin"/>
          <w:rFonts w:ascii="Traditional Arabic" w:hAnsi="Traditional Arabic" w:cs="Traditional Arabic"/>
          <w:smallCaps/>
          <w:sz w:val="28"/>
          <w:szCs w:val="28"/>
          <w:rtl/>
          <w:lang w:bidi="ar-DZ"/>
        </w:rPr>
        <w:endnoteReference w:id="9"/>
      </w:r>
      <w:r w:rsidR="00E131E4">
        <w:rPr>
          <w:rFonts w:ascii="Traditional Arabic" w:hAnsi="Traditional Arabic" w:cs="Traditional Arabic" w:hint="cs"/>
          <w:smallCaps/>
          <w:sz w:val="28"/>
          <w:szCs w:val="28"/>
          <w:rtl/>
          <w:lang w:bidi="ar-DZ"/>
        </w:rPr>
        <w:t>.</w:t>
      </w:r>
    </w:p>
    <w:p w:rsidR="00532E5B" w:rsidRPr="001F61A5" w:rsidRDefault="00C81A48" w:rsidP="001F61A5">
      <w:pPr>
        <w:bidi/>
        <w:spacing w:after="0" w:line="240" w:lineRule="auto"/>
        <w:jc w:val="both"/>
        <w:rPr>
          <w:rFonts w:ascii="Traditional Arabic" w:hAnsi="Traditional Arabic" w:cs="Traditional Arabic"/>
          <w:b/>
          <w:bCs/>
          <w:smallCaps/>
          <w:sz w:val="28"/>
          <w:szCs w:val="28"/>
          <w:rtl/>
          <w:lang w:bidi="ar-DZ"/>
        </w:rPr>
      </w:pPr>
      <w:r>
        <w:rPr>
          <w:rFonts w:ascii="Traditional Arabic" w:hAnsi="Traditional Arabic" w:cs="Traditional Arabic"/>
          <w:smallCaps/>
          <w:noProof/>
          <w:sz w:val="28"/>
          <w:szCs w:val="28"/>
          <w:rtl/>
          <w:lang w:eastAsia="fr-FR"/>
        </w:rPr>
        <w:drawing>
          <wp:inline distT="0" distB="0" distL="0" distR="0" wp14:anchorId="1CA77AB3" wp14:editId="601AEB02">
            <wp:extent cx="1440000" cy="2088645"/>
            <wp:effectExtent l="0" t="0" r="8255" b="6985"/>
            <wp:docPr id="5" name="Image 5" descr="C:\Users\Acer\Downloads\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télécharge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2088645"/>
                    </a:xfrm>
                    <a:prstGeom prst="rect">
                      <a:avLst/>
                    </a:prstGeom>
                    <a:noFill/>
                    <a:ln>
                      <a:noFill/>
                    </a:ln>
                  </pic:spPr>
                </pic:pic>
              </a:graphicData>
            </a:graphic>
          </wp:inline>
        </w:drawing>
      </w:r>
      <w:r>
        <w:rPr>
          <w:rFonts w:ascii="Traditional Arabic" w:hAnsi="Traditional Arabic" w:cs="Traditional Arabic" w:hint="cs"/>
          <w:b/>
          <w:bCs/>
          <w:smallCaps/>
          <w:sz w:val="28"/>
          <w:szCs w:val="28"/>
          <w:rtl/>
          <w:lang w:bidi="ar-DZ"/>
        </w:rPr>
        <w:t xml:space="preserve"> -</w:t>
      </w:r>
      <w:r w:rsidRPr="00C81A48">
        <w:rPr>
          <w:rFonts w:ascii="Traditional Arabic" w:hAnsi="Traditional Arabic" w:cs="Traditional Arabic" w:hint="cs"/>
          <w:b/>
          <w:bCs/>
          <w:smallCaps/>
          <w:sz w:val="24"/>
          <w:szCs w:val="24"/>
          <w:rtl/>
          <w:lang w:bidi="ar-DZ"/>
        </w:rPr>
        <w:t>تمثال يمثل نحت نصفي ل</w:t>
      </w:r>
      <w:r>
        <w:rPr>
          <w:rFonts w:ascii="Traditional Arabic" w:hAnsi="Traditional Arabic" w:cs="Traditional Arabic" w:hint="cs"/>
          <w:b/>
          <w:bCs/>
          <w:smallCaps/>
          <w:sz w:val="24"/>
          <w:szCs w:val="24"/>
          <w:rtl/>
          <w:lang w:bidi="ar-DZ"/>
        </w:rPr>
        <w:t>ـ</w:t>
      </w:r>
      <w:r w:rsidRPr="00C81A48">
        <w:rPr>
          <w:rFonts w:ascii="Traditional Arabic" w:hAnsi="Traditional Arabic" w:cs="Traditional Arabic" w:hint="cs"/>
          <w:b/>
          <w:bCs/>
          <w:smallCaps/>
          <w:sz w:val="24"/>
          <w:szCs w:val="24"/>
          <w:rtl/>
          <w:lang w:bidi="ar-DZ"/>
        </w:rPr>
        <w:t xml:space="preserve"> هوميروس-</w:t>
      </w:r>
      <w:bookmarkStart w:id="0" w:name="_GoBack"/>
      <w:bookmarkEnd w:id="0"/>
    </w:p>
    <w:p w:rsidR="00532E5B" w:rsidRPr="00532E5B" w:rsidRDefault="00532E5B" w:rsidP="00532E5B">
      <w:pPr>
        <w:bidi/>
        <w:spacing w:after="120" w:line="240" w:lineRule="auto"/>
        <w:jc w:val="center"/>
        <w:rPr>
          <w:rFonts w:ascii="Traditional Arabic" w:hAnsi="Traditional Arabic" w:cs="Traditional Arabic"/>
          <w:b/>
          <w:bCs/>
          <w:sz w:val="32"/>
          <w:szCs w:val="32"/>
          <w:rtl/>
          <w:lang w:bidi="ar-DZ"/>
        </w:rPr>
      </w:pPr>
    </w:p>
    <w:sectPr w:rsidR="00532E5B" w:rsidRPr="00532E5B">
      <w:headerReference w:type="default" r:id="rId13"/>
      <w:footerReference w:type="default" r:id="rId14"/>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CCB" w:rsidRDefault="00EE5CCB" w:rsidP="006D63CE">
      <w:pPr>
        <w:spacing w:after="0" w:line="240" w:lineRule="auto"/>
      </w:pPr>
      <w:r>
        <w:separator/>
      </w:r>
    </w:p>
  </w:endnote>
  <w:endnote w:type="continuationSeparator" w:id="0">
    <w:p w:rsidR="00EE5CCB" w:rsidRDefault="00EE5CCB" w:rsidP="006D63CE">
      <w:pPr>
        <w:spacing w:after="0" w:line="240" w:lineRule="auto"/>
      </w:pPr>
      <w:r>
        <w:continuationSeparator/>
      </w:r>
    </w:p>
  </w:endnote>
  <w:endnote w:id="1">
    <w:p w:rsidR="00D5686D" w:rsidRDefault="00D5686D" w:rsidP="000E3E8C">
      <w:pPr>
        <w:pStyle w:val="Notedefin"/>
        <w:bidi/>
        <w:rPr>
          <w:rtl/>
          <w:lang w:bidi="ar-DZ"/>
        </w:rPr>
      </w:pPr>
      <w:r>
        <w:rPr>
          <w:rStyle w:val="Appeldenotedefin"/>
        </w:rPr>
        <w:endnoteRef/>
      </w:r>
      <w:r>
        <w:rPr>
          <w:rFonts w:hint="cs"/>
          <w:rtl/>
          <w:lang w:bidi="ar-DZ"/>
        </w:rPr>
        <w:t xml:space="preserve"> </w:t>
      </w:r>
      <w:r w:rsidR="000E3E8C">
        <w:rPr>
          <w:rFonts w:hint="cs"/>
          <w:rtl/>
          <w:lang w:bidi="ar-DZ"/>
        </w:rPr>
        <w:t xml:space="preserve">ف، </w:t>
      </w:r>
      <w:r>
        <w:rPr>
          <w:rFonts w:hint="cs"/>
          <w:rtl/>
          <w:lang w:bidi="ar-DZ"/>
        </w:rPr>
        <w:t xml:space="preserve">دياكوف، </w:t>
      </w:r>
      <w:r w:rsidR="000E3E8C">
        <w:rPr>
          <w:rFonts w:hint="cs"/>
          <w:rtl/>
          <w:lang w:bidi="ar-DZ"/>
        </w:rPr>
        <w:t>س، كوفاليف،</w:t>
      </w:r>
      <w:r w:rsidR="000E3E8C" w:rsidRPr="000E3E8C">
        <w:rPr>
          <w:rFonts w:hint="cs"/>
          <w:rtl/>
        </w:rPr>
        <w:t xml:space="preserve"> </w:t>
      </w:r>
      <w:r w:rsidR="000E3E8C" w:rsidRPr="000E3E8C">
        <w:rPr>
          <w:rFonts w:cs="Arial" w:hint="cs"/>
          <w:rtl/>
          <w:lang w:bidi="ar-DZ"/>
        </w:rPr>
        <w:t>الحضارات</w:t>
      </w:r>
      <w:r w:rsidR="000E3E8C" w:rsidRPr="000E3E8C">
        <w:rPr>
          <w:rFonts w:cs="Arial"/>
          <w:rtl/>
          <w:lang w:bidi="ar-DZ"/>
        </w:rPr>
        <w:t xml:space="preserve"> </w:t>
      </w:r>
      <w:r w:rsidR="000E3E8C" w:rsidRPr="000E3E8C">
        <w:rPr>
          <w:rFonts w:cs="Arial" w:hint="cs"/>
          <w:rtl/>
          <w:lang w:bidi="ar-DZ"/>
        </w:rPr>
        <w:t>القديمة</w:t>
      </w:r>
      <w:r w:rsidR="000E3E8C" w:rsidRPr="000E3E8C">
        <w:rPr>
          <w:rFonts w:cs="Arial"/>
          <w:rtl/>
          <w:lang w:bidi="ar-DZ"/>
        </w:rPr>
        <w:t xml:space="preserve"> </w:t>
      </w:r>
      <w:r>
        <w:rPr>
          <w:rFonts w:hint="cs"/>
          <w:rtl/>
          <w:lang w:bidi="ar-DZ"/>
        </w:rPr>
        <w:t>،</w:t>
      </w:r>
      <w:r w:rsidR="000E3E8C">
        <w:rPr>
          <w:rFonts w:hint="cs"/>
          <w:rtl/>
          <w:lang w:bidi="ar-DZ"/>
        </w:rPr>
        <w:t xml:space="preserve"> ترجمة نسيم واكيم اليازجي، ج</w:t>
      </w:r>
      <w:r w:rsidR="009E6395">
        <w:rPr>
          <w:rFonts w:hint="cs"/>
          <w:vertAlign w:val="subscript"/>
          <w:rtl/>
          <w:lang w:bidi="ar-DZ"/>
        </w:rPr>
        <w:t>1</w:t>
      </w:r>
      <w:r w:rsidR="009E6395">
        <w:rPr>
          <w:rFonts w:hint="cs"/>
          <w:rtl/>
          <w:lang w:bidi="ar-DZ"/>
        </w:rPr>
        <w:t>، منشورات دار علاء الدين،  ط</w:t>
      </w:r>
      <w:r w:rsidR="009E6395">
        <w:rPr>
          <w:rFonts w:hint="cs"/>
          <w:vertAlign w:val="subscript"/>
          <w:rtl/>
          <w:lang w:bidi="ar-DZ"/>
        </w:rPr>
        <w:t xml:space="preserve">1، </w:t>
      </w:r>
      <w:r w:rsidR="009E6395">
        <w:rPr>
          <w:rFonts w:hint="cs"/>
          <w:rtl/>
          <w:lang w:bidi="ar-DZ"/>
        </w:rPr>
        <w:t xml:space="preserve">دمشق </w:t>
      </w:r>
      <w:r w:rsidR="009E6395">
        <w:rPr>
          <w:rtl/>
          <w:lang w:bidi="ar-DZ"/>
        </w:rPr>
        <w:t>–</w:t>
      </w:r>
      <w:r w:rsidR="009E6395">
        <w:rPr>
          <w:rFonts w:hint="cs"/>
          <w:rtl/>
          <w:lang w:bidi="ar-DZ"/>
        </w:rPr>
        <w:t>سوريا، 2000</w:t>
      </w:r>
      <w:r>
        <w:rPr>
          <w:rFonts w:hint="cs"/>
          <w:rtl/>
          <w:lang w:bidi="ar-DZ"/>
        </w:rPr>
        <w:t xml:space="preserve"> ص 259</w:t>
      </w:r>
    </w:p>
  </w:endnote>
  <w:endnote w:id="2">
    <w:p w:rsidR="00D5686D" w:rsidRDefault="00D5686D" w:rsidP="00D5686D">
      <w:pPr>
        <w:pStyle w:val="Notedefin"/>
        <w:bidi/>
        <w:rPr>
          <w:rtl/>
          <w:lang w:bidi="ar-DZ"/>
        </w:rPr>
      </w:pPr>
      <w:r>
        <w:rPr>
          <w:rStyle w:val="Appeldenotedefin"/>
        </w:rPr>
        <w:endnoteRef/>
      </w:r>
      <w:r>
        <w:t xml:space="preserve"> </w:t>
      </w:r>
      <w:r w:rsidR="009E6395">
        <w:rPr>
          <w:rFonts w:hint="cs"/>
          <w:rtl/>
        </w:rPr>
        <w:t xml:space="preserve">لطفي عبد الوهاب، يحي، </w:t>
      </w:r>
      <w:r>
        <w:rPr>
          <w:rFonts w:hint="cs"/>
          <w:rtl/>
          <w:lang w:bidi="ar-DZ"/>
        </w:rPr>
        <w:t xml:space="preserve">اليونان مقدمة في التاريخ الحضاري، </w:t>
      </w:r>
      <w:r w:rsidR="009E6395">
        <w:rPr>
          <w:rFonts w:hint="cs"/>
          <w:rtl/>
          <w:lang w:bidi="ar-DZ"/>
        </w:rPr>
        <w:t xml:space="preserve"> دار المعرفة الجامعية، الاسكندرية </w:t>
      </w:r>
      <w:r w:rsidR="009E6395">
        <w:rPr>
          <w:rtl/>
          <w:lang w:bidi="ar-DZ"/>
        </w:rPr>
        <w:t>–</w:t>
      </w:r>
      <w:r w:rsidR="009E6395">
        <w:rPr>
          <w:rFonts w:hint="cs"/>
          <w:rtl/>
          <w:lang w:bidi="ar-DZ"/>
        </w:rPr>
        <w:t xml:space="preserve">مصر، 1991، </w:t>
      </w:r>
      <w:r>
        <w:rPr>
          <w:rFonts w:hint="cs"/>
          <w:rtl/>
          <w:lang w:bidi="ar-DZ"/>
        </w:rPr>
        <w:t>ص ص 20، 39</w:t>
      </w:r>
    </w:p>
  </w:endnote>
  <w:endnote w:id="3">
    <w:p w:rsidR="00D5686D" w:rsidRDefault="00D5686D" w:rsidP="00074FDE">
      <w:pPr>
        <w:pStyle w:val="Notedefin"/>
        <w:bidi/>
        <w:rPr>
          <w:rtl/>
          <w:lang w:bidi="ar-DZ"/>
        </w:rPr>
      </w:pPr>
      <w:r>
        <w:rPr>
          <w:rStyle w:val="Appeldenotedefin"/>
        </w:rPr>
        <w:endnoteRef/>
      </w:r>
      <w:r>
        <w:t xml:space="preserve"> </w:t>
      </w:r>
      <w:r w:rsidR="00074FDE">
        <w:rPr>
          <w:rFonts w:hint="cs"/>
          <w:rtl/>
        </w:rPr>
        <w:t xml:space="preserve"> نفسه، ص 40-44</w:t>
      </w:r>
    </w:p>
  </w:endnote>
  <w:endnote w:id="4">
    <w:p w:rsidR="00074FDE" w:rsidRDefault="00074FDE" w:rsidP="00074FDE">
      <w:pPr>
        <w:pStyle w:val="Notedefin"/>
        <w:bidi/>
        <w:rPr>
          <w:rtl/>
          <w:lang w:bidi="ar-DZ"/>
        </w:rPr>
      </w:pPr>
      <w:r>
        <w:rPr>
          <w:rStyle w:val="Appeldenotedefin"/>
        </w:rPr>
        <w:endnoteRef/>
      </w:r>
      <w:r>
        <w:rPr>
          <w:rFonts w:hint="cs"/>
          <w:rtl/>
        </w:rPr>
        <w:t xml:space="preserve"> فوزي مكاوي،</w:t>
      </w:r>
      <w:r w:rsidR="009E6395">
        <w:rPr>
          <w:rFonts w:hint="cs"/>
          <w:rtl/>
        </w:rPr>
        <w:t xml:space="preserve"> تاريخ العالم الاغريقي وحضارته من أقدم عصوره حتى 322 ق.م،</w:t>
      </w:r>
      <w:r>
        <w:rPr>
          <w:rFonts w:hint="cs"/>
          <w:rtl/>
        </w:rPr>
        <w:t xml:space="preserve"> </w:t>
      </w:r>
      <w:r w:rsidR="009E6395">
        <w:rPr>
          <w:rFonts w:hint="cs"/>
          <w:rtl/>
        </w:rPr>
        <w:t xml:space="preserve"> دار الرشاد الحديثة، ط</w:t>
      </w:r>
      <w:r w:rsidR="009E6395">
        <w:rPr>
          <w:rFonts w:hint="cs"/>
          <w:vertAlign w:val="subscript"/>
          <w:rtl/>
        </w:rPr>
        <w:t>1</w:t>
      </w:r>
      <w:r w:rsidR="009E6395">
        <w:rPr>
          <w:rFonts w:hint="cs"/>
          <w:rtl/>
        </w:rPr>
        <w:t xml:space="preserve">، الدار البيضاء </w:t>
      </w:r>
      <w:r w:rsidR="009E6395">
        <w:rPr>
          <w:rtl/>
        </w:rPr>
        <w:t>–</w:t>
      </w:r>
      <w:r w:rsidR="009E6395">
        <w:rPr>
          <w:rFonts w:hint="cs"/>
          <w:rtl/>
        </w:rPr>
        <w:t xml:space="preserve">المملكة المغربية، 1400 ه-1980 م، </w:t>
      </w:r>
      <w:r>
        <w:rPr>
          <w:rFonts w:hint="cs"/>
          <w:rtl/>
        </w:rPr>
        <w:t xml:space="preserve"> 11</w:t>
      </w:r>
    </w:p>
  </w:endnote>
  <w:endnote w:id="5">
    <w:p w:rsidR="00074FDE" w:rsidRDefault="00074FDE" w:rsidP="000C0E6D">
      <w:pPr>
        <w:pStyle w:val="Notedefin"/>
        <w:bidi/>
        <w:rPr>
          <w:rtl/>
          <w:lang w:bidi="ar-DZ"/>
        </w:rPr>
      </w:pPr>
      <w:r>
        <w:rPr>
          <w:rStyle w:val="Appeldenotedefin"/>
        </w:rPr>
        <w:endnoteRef/>
      </w:r>
      <w:r>
        <w:rPr>
          <w:rFonts w:hint="cs"/>
          <w:rtl/>
        </w:rPr>
        <w:t xml:space="preserve"> </w:t>
      </w:r>
      <w:r w:rsidR="000C0E6D" w:rsidRPr="000C0E6D">
        <w:rPr>
          <w:rFonts w:cs="Arial" w:hint="cs"/>
          <w:rtl/>
        </w:rPr>
        <w:t>ف،</w:t>
      </w:r>
      <w:r w:rsidR="000C0E6D" w:rsidRPr="000C0E6D">
        <w:rPr>
          <w:rFonts w:cs="Arial"/>
          <w:rtl/>
        </w:rPr>
        <w:t xml:space="preserve"> </w:t>
      </w:r>
      <w:r w:rsidR="000C0E6D" w:rsidRPr="000C0E6D">
        <w:rPr>
          <w:rFonts w:cs="Arial" w:hint="cs"/>
          <w:rtl/>
        </w:rPr>
        <w:t>دياكوف،</w:t>
      </w:r>
      <w:r w:rsidR="000C0E6D" w:rsidRPr="000C0E6D">
        <w:rPr>
          <w:rFonts w:cs="Arial"/>
          <w:rtl/>
        </w:rPr>
        <w:t xml:space="preserve"> </w:t>
      </w:r>
      <w:r w:rsidR="000C0E6D" w:rsidRPr="000C0E6D">
        <w:rPr>
          <w:rFonts w:cs="Arial" w:hint="cs"/>
          <w:rtl/>
        </w:rPr>
        <w:t>س،</w:t>
      </w:r>
      <w:r w:rsidR="000C0E6D" w:rsidRPr="000C0E6D">
        <w:rPr>
          <w:rFonts w:cs="Arial"/>
          <w:rtl/>
        </w:rPr>
        <w:t xml:space="preserve"> </w:t>
      </w:r>
      <w:r w:rsidR="000C0E6D" w:rsidRPr="000C0E6D">
        <w:rPr>
          <w:rFonts w:cs="Arial" w:hint="cs"/>
          <w:rtl/>
        </w:rPr>
        <w:t>كوفاليف</w:t>
      </w:r>
      <w:r w:rsidR="000C0E6D">
        <w:rPr>
          <w:rFonts w:hint="cs"/>
          <w:rtl/>
        </w:rPr>
        <w:t xml:space="preserve"> </w:t>
      </w:r>
      <w:r>
        <w:rPr>
          <w:rFonts w:hint="cs"/>
          <w:rtl/>
        </w:rPr>
        <w:t>،</w:t>
      </w:r>
      <w:r w:rsidR="000C0E6D">
        <w:rPr>
          <w:rFonts w:hint="cs"/>
          <w:rtl/>
        </w:rPr>
        <w:t xml:space="preserve"> المرجع السابق،</w:t>
      </w:r>
      <w:r>
        <w:rPr>
          <w:rFonts w:hint="cs"/>
          <w:rtl/>
        </w:rPr>
        <w:t xml:space="preserve"> ص 252</w:t>
      </w:r>
    </w:p>
  </w:endnote>
  <w:endnote w:id="6">
    <w:p w:rsidR="00074FDE" w:rsidRDefault="00074FDE" w:rsidP="000C0E6D">
      <w:pPr>
        <w:pStyle w:val="Notedefin"/>
        <w:bidi/>
        <w:rPr>
          <w:rtl/>
          <w:lang w:bidi="ar-DZ"/>
        </w:rPr>
      </w:pPr>
      <w:r>
        <w:rPr>
          <w:rStyle w:val="Appeldenotedefin"/>
        </w:rPr>
        <w:endnoteRef/>
      </w:r>
      <w:r>
        <w:rPr>
          <w:rFonts w:hint="cs"/>
          <w:rtl/>
          <w:lang w:bidi="ar-DZ"/>
        </w:rPr>
        <w:t xml:space="preserve"> </w:t>
      </w:r>
      <w:r w:rsidR="000C0E6D" w:rsidRPr="000C0E6D">
        <w:rPr>
          <w:rFonts w:cs="Arial" w:hint="cs"/>
          <w:rtl/>
          <w:lang w:bidi="ar-DZ"/>
        </w:rPr>
        <w:t>لطفي</w:t>
      </w:r>
      <w:r w:rsidR="000C0E6D" w:rsidRPr="000C0E6D">
        <w:rPr>
          <w:rFonts w:cs="Arial"/>
          <w:rtl/>
          <w:lang w:bidi="ar-DZ"/>
        </w:rPr>
        <w:t xml:space="preserve"> </w:t>
      </w:r>
      <w:r w:rsidR="000C0E6D" w:rsidRPr="000C0E6D">
        <w:rPr>
          <w:rFonts w:cs="Arial" w:hint="cs"/>
          <w:rtl/>
          <w:lang w:bidi="ar-DZ"/>
        </w:rPr>
        <w:t>عبد</w:t>
      </w:r>
      <w:r w:rsidR="000C0E6D" w:rsidRPr="000C0E6D">
        <w:rPr>
          <w:rFonts w:cs="Arial"/>
          <w:rtl/>
          <w:lang w:bidi="ar-DZ"/>
        </w:rPr>
        <w:t xml:space="preserve"> </w:t>
      </w:r>
      <w:r w:rsidR="000C0E6D" w:rsidRPr="000C0E6D">
        <w:rPr>
          <w:rFonts w:cs="Arial" w:hint="cs"/>
          <w:rtl/>
          <w:lang w:bidi="ar-DZ"/>
        </w:rPr>
        <w:t>الوهاب،</w:t>
      </w:r>
      <w:r w:rsidR="000C0E6D" w:rsidRPr="000C0E6D">
        <w:rPr>
          <w:rFonts w:cs="Arial"/>
          <w:rtl/>
          <w:lang w:bidi="ar-DZ"/>
        </w:rPr>
        <w:t xml:space="preserve"> </w:t>
      </w:r>
      <w:r w:rsidR="000C0E6D" w:rsidRPr="000C0E6D">
        <w:rPr>
          <w:rFonts w:cs="Arial" w:hint="cs"/>
          <w:rtl/>
          <w:lang w:bidi="ar-DZ"/>
        </w:rPr>
        <w:t>يحي،</w:t>
      </w:r>
      <w:r w:rsidR="000C0E6D">
        <w:rPr>
          <w:rFonts w:hint="cs"/>
          <w:rtl/>
          <w:lang w:bidi="ar-DZ"/>
        </w:rPr>
        <w:t xml:space="preserve"> المرجع السابق،</w:t>
      </w:r>
      <w:r>
        <w:rPr>
          <w:rFonts w:hint="cs"/>
          <w:rtl/>
          <w:lang w:bidi="ar-DZ"/>
        </w:rPr>
        <w:t xml:space="preserve"> ص ص 51، 53</w:t>
      </w:r>
    </w:p>
  </w:endnote>
  <w:endnote w:id="7">
    <w:p w:rsidR="00074FDE" w:rsidRDefault="00074FDE" w:rsidP="00074FDE">
      <w:pPr>
        <w:pStyle w:val="Notedefin"/>
        <w:bidi/>
        <w:rPr>
          <w:rtl/>
          <w:lang w:bidi="ar-DZ"/>
        </w:rPr>
      </w:pPr>
      <w:r>
        <w:rPr>
          <w:rStyle w:val="Appeldenotedefin"/>
        </w:rPr>
        <w:endnoteRef/>
      </w:r>
      <w:r>
        <w:rPr>
          <w:rFonts w:hint="cs"/>
          <w:rtl/>
          <w:lang w:bidi="ar-DZ"/>
        </w:rPr>
        <w:t xml:space="preserve"> </w:t>
      </w:r>
      <w:r w:rsidR="00964C12">
        <w:rPr>
          <w:rFonts w:hint="cs"/>
          <w:rtl/>
          <w:lang w:bidi="ar-DZ"/>
        </w:rPr>
        <w:t xml:space="preserve">ف. </w:t>
      </w:r>
      <w:r>
        <w:rPr>
          <w:rFonts w:hint="cs"/>
          <w:rtl/>
          <w:lang w:bidi="ar-DZ"/>
        </w:rPr>
        <w:t>دياكوف،</w:t>
      </w:r>
      <w:r w:rsidR="00964C12" w:rsidRPr="00964C12">
        <w:rPr>
          <w:rFonts w:cs="Arial"/>
          <w:rtl/>
          <w:lang w:bidi="ar-DZ"/>
        </w:rPr>
        <w:t xml:space="preserve"> </w:t>
      </w:r>
      <w:r w:rsidR="00964C12" w:rsidRPr="00964C12">
        <w:rPr>
          <w:rFonts w:cs="Arial" w:hint="cs"/>
          <w:rtl/>
          <w:lang w:bidi="ar-DZ"/>
        </w:rPr>
        <w:t>س،</w:t>
      </w:r>
      <w:r w:rsidR="00964C12" w:rsidRPr="00964C12">
        <w:rPr>
          <w:rFonts w:cs="Arial"/>
          <w:rtl/>
          <w:lang w:bidi="ar-DZ"/>
        </w:rPr>
        <w:t xml:space="preserve"> </w:t>
      </w:r>
      <w:r w:rsidR="00964C12" w:rsidRPr="00964C12">
        <w:rPr>
          <w:rFonts w:cs="Arial" w:hint="cs"/>
          <w:rtl/>
          <w:lang w:bidi="ar-DZ"/>
        </w:rPr>
        <w:t>كوفاليف</w:t>
      </w:r>
      <w:r w:rsidR="00964C12">
        <w:rPr>
          <w:rFonts w:cs="Arial" w:hint="cs"/>
          <w:rtl/>
          <w:lang w:bidi="ar-DZ"/>
        </w:rPr>
        <w:t>، المرجع نفسه،</w:t>
      </w:r>
      <w:r>
        <w:rPr>
          <w:rFonts w:hint="cs"/>
          <w:rtl/>
          <w:lang w:bidi="ar-DZ"/>
        </w:rPr>
        <w:t xml:space="preserve"> ص 246</w:t>
      </w:r>
    </w:p>
  </w:endnote>
  <w:endnote w:id="8">
    <w:p w:rsidR="00074FDE" w:rsidRDefault="00074FDE" w:rsidP="00964C12">
      <w:pPr>
        <w:pStyle w:val="Notedefin"/>
        <w:bidi/>
        <w:rPr>
          <w:rtl/>
          <w:lang w:bidi="ar-DZ"/>
        </w:rPr>
      </w:pPr>
      <w:r>
        <w:rPr>
          <w:rStyle w:val="Appeldenotedefin"/>
        </w:rPr>
        <w:endnoteRef/>
      </w:r>
      <w:r>
        <w:rPr>
          <w:rFonts w:hint="cs"/>
          <w:rtl/>
          <w:lang w:bidi="ar-DZ"/>
        </w:rPr>
        <w:t xml:space="preserve"> </w:t>
      </w:r>
      <w:r w:rsidR="00964C12" w:rsidRPr="00964C12">
        <w:rPr>
          <w:rFonts w:cs="Arial" w:hint="cs"/>
          <w:rtl/>
          <w:lang w:bidi="ar-DZ"/>
        </w:rPr>
        <w:t>لطفي</w:t>
      </w:r>
      <w:r w:rsidR="00964C12" w:rsidRPr="00964C12">
        <w:rPr>
          <w:rFonts w:cs="Arial"/>
          <w:rtl/>
          <w:lang w:bidi="ar-DZ"/>
        </w:rPr>
        <w:t xml:space="preserve"> </w:t>
      </w:r>
      <w:r w:rsidR="00964C12" w:rsidRPr="00964C12">
        <w:rPr>
          <w:rFonts w:cs="Arial" w:hint="cs"/>
          <w:rtl/>
          <w:lang w:bidi="ar-DZ"/>
        </w:rPr>
        <w:t>عبد</w:t>
      </w:r>
      <w:r w:rsidR="00964C12" w:rsidRPr="00964C12">
        <w:rPr>
          <w:rFonts w:cs="Arial"/>
          <w:rtl/>
          <w:lang w:bidi="ar-DZ"/>
        </w:rPr>
        <w:t xml:space="preserve"> </w:t>
      </w:r>
      <w:r w:rsidR="00964C12" w:rsidRPr="00964C12">
        <w:rPr>
          <w:rFonts w:cs="Arial" w:hint="cs"/>
          <w:rtl/>
          <w:lang w:bidi="ar-DZ"/>
        </w:rPr>
        <w:t>الوهاب،</w:t>
      </w:r>
      <w:r w:rsidR="00964C12" w:rsidRPr="00964C12">
        <w:rPr>
          <w:rFonts w:cs="Arial"/>
          <w:rtl/>
          <w:lang w:bidi="ar-DZ"/>
        </w:rPr>
        <w:t xml:space="preserve"> </w:t>
      </w:r>
      <w:r w:rsidR="00964C12" w:rsidRPr="00964C12">
        <w:rPr>
          <w:rFonts w:cs="Arial" w:hint="cs"/>
          <w:rtl/>
          <w:lang w:bidi="ar-DZ"/>
        </w:rPr>
        <w:t>يحي،</w:t>
      </w:r>
      <w:r w:rsidR="00964C12" w:rsidRPr="00964C12">
        <w:rPr>
          <w:rFonts w:cs="Arial"/>
          <w:rtl/>
          <w:lang w:bidi="ar-DZ"/>
        </w:rPr>
        <w:t xml:space="preserve"> </w:t>
      </w:r>
      <w:r w:rsidR="00964C12" w:rsidRPr="00964C12">
        <w:rPr>
          <w:rFonts w:cs="Arial" w:hint="cs"/>
          <w:rtl/>
          <w:lang w:bidi="ar-DZ"/>
        </w:rPr>
        <w:t>المرجع</w:t>
      </w:r>
      <w:r w:rsidR="00964C12" w:rsidRPr="00964C12">
        <w:rPr>
          <w:rFonts w:cs="Arial"/>
          <w:rtl/>
          <w:lang w:bidi="ar-DZ"/>
        </w:rPr>
        <w:t xml:space="preserve"> </w:t>
      </w:r>
      <w:r w:rsidR="00964C12">
        <w:rPr>
          <w:rFonts w:cs="Arial" w:hint="cs"/>
          <w:rtl/>
          <w:lang w:bidi="ar-DZ"/>
        </w:rPr>
        <w:t xml:space="preserve"> نفسه</w:t>
      </w:r>
      <w:r>
        <w:rPr>
          <w:rFonts w:cs="Arial" w:hint="cs"/>
          <w:rtl/>
          <w:lang w:bidi="ar-DZ"/>
        </w:rPr>
        <w:t>، ص 63</w:t>
      </w:r>
    </w:p>
  </w:endnote>
  <w:endnote w:id="9">
    <w:p w:rsidR="00074FDE" w:rsidRDefault="00074FDE" w:rsidP="00074FDE">
      <w:pPr>
        <w:pStyle w:val="Notedefin"/>
        <w:bidi/>
        <w:rPr>
          <w:rtl/>
          <w:lang w:bidi="ar-DZ"/>
        </w:rPr>
      </w:pPr>
      <w:r>
        <w:rPr>
          <w:rStyle w:val="Appeldenotedefin"/>
        </w:rPr>
        <w:endnoteRef/>
      </w:r>
      <w:r>
        <w:rPr>
          <w:rFonts w:hint="cs"/>
          <w:rtl/>
          <w:lang w:bidi="ar-DZ"/>
        </w:rPr>
        <w:t xml:space="preserve"> </w:t>
      </w:r>
      <w:r w:rsidR="00964C12">
        <w:rPr>
          <w:rFonts w:hint="cs"/>
          <w:rtl/>
          <w:lang w:bidi="ar-DZ"/>
        </w:rPr>
        <w:t xml:space="preserve">ف. </w:t>
      </w:r>
      <w:r>
        <w:rPr>
          <w:rFonts w:hint="cs"/>
          <w:rtl/>
          <w:lang w:bidi="ar-DZ"/>
        </w:rPr>
        <w:t>دياكوف،</w:t>
      </w:r>
      <w:r w:rsidR="00964C12" w:rsidRPr="00964C12">
        <w:rPr>
          <w:rFonts w:hint="cs"/>
          <w:rtl/>
        </w:rPr>
        <w:t xml:space="preserve"> </w:t>
      </w:r>
      <w:r w:rsidR="00964C12" w:rsidRPr="00964C12">
        <w:rPr>
          <w:rFonts w:cs="Arial" w:hint="cs"/>
          <w:rtl/>
          <w:lang w:bidi="ar-DZ"/>
        </w:rPr>
        <w:t>س،</w:t>
      </w:r>
      <w:r w:rsidR="00964C12" w:rsidRPr="00964C12">
        <w:rPr>
          <w:rFonts w:cs="Arial"/>
          <w:rtl/>
          <w:lang w:bidi="ar-DZ"/>
        </w:rPr>
        <w:t xml:space="preserve"> </w:t>
      </w:r>
      <w:r w:rsidR="00964C12" w:rsidRPr="00964C12">
        <w:rPr>
          <w:rFonts w:cs="Arial" w:hint="cs"/>
          <w:rtl/>
          <w:lang w:bidi="ar-DZ"/>
        </w:rPr>
        <w:t>كوفاليف،</w:t>
      </w:r>
      <w:r w:rsidR="00964C12" w:rsidRPr="00964C12">
        <w:rPr>
          <w:rFonts w:cs="Arial"/>
          <w:rtl/>
          <w:lang w:bidi="ar-DZ"/>
        </w:rPr>
        <w:t xml:space="preserve"> </w:t>
      </w:r>
      <w:r w:rsidR="00964C12" w:rsidRPr="00964C12">
        <w:rPr>
          <w:rFonts w:cs="Arial" w:hint="cs"/>
          <w:rtl/>
          <w:lang w:bidi="ar-DZ"/>
        </w:rPr>
        <w:t>المرجع</w:t>
      </w:r>
      <w:r w:rsidR="00964C12" w:rsidRPr="00964C12">
        <w:rPr>
          <w:rFonts w:cs="Arial"/>
          <w:rtl/>
          <w:lang w:bidi="ar-DZ"/>
        </w:rPr>
        <w:t xml:space="preserve"> </w:t>
      </w:r>
      <w:r w:rsidR="00964C12" w:rsidRPr="00964C12">
        <w:rPr>
          <w:rFonts w:cs="Arial" w:hint="cs"/>
          <w:rtl/>
          <w:lang w:bidi="ar-DZ"/>
        </w:rPr>
        <w:t>نفسه</w:t>
      </w:r>
      <w:r w:rsidR="00964C12">
        <w:rPr>
          <w:rFonts w:cs="Arial" w:hint="cs"/>
          <w:rtl/>
          <w:lang w:bidi="ar-DZ"/>
        </w:rPr>
        <w:t>،</w:t>
      </w:r>
      <w:r>
        <w:rPr>
          <w:rFonts w:hint="cs"/>
          <w:rtl/>
          <w:lang w:bidi="ar-DZ"/>
        </w:rPr>
        <w:t xml:space="preserve"> ص 252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998246"/>
      <w:docPartObj>
        <w:docPartGallery w:val="Page Numbers (Bottom of Page)"/>
        <w:docPartUnique/>
      </w:docPartObj>
    </w:sdtPr>
    <w:sdtEndPr/>
    <w:sdtContent>
      <w:p w:rsidR="005C6E45" w:rsidRDefault="005C6E45">
        <w:pPr>
          <w:pStyle w:val="Pieddepage"/>
        </w:pPr>
        <w:r>
          <w:rPr>
            <w:noProof/>
            <w:lang w:eastAsia="fr-FR"/>
          </w:rPr>
          <mc:AlternateContent>
            <mc:Choice Requires="wpg">
              <w:drawing>
                <wp:anchor distT="0" distB="0" distL="114300" distR="114300" simplePos="0" relativeHeight="251659264" behindDoc="0" locked="0" layoutInCell="1" allowOverlap="1" wp14:anchorId="5C0E92F7" wp14:editId="3628E6AC">
                  <wp:simplePos x="0" y="0"/>
                  <wp:positionH relativeFrom="margin">
                    <wp:align>right</wp:align>
                  </wp:positionH>
                  <wp:positionV relativeFrom="page">
                    <wp:align>bottom</wp:align>
                  </wp:positionV>
                  <wp:extent cx="436880" cy="716915"/>
                  <wp:effectExtent l="8255" t="9525" r="12065" b="698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5C6E45" w:rsidRDefault="005C6E45">
                                <w:pPr>
                                  <w:pStyle w:val="Pieddepage"/>
                                  <w:jc w:val="center"/>
                                  <w:rPr>
                                    <w:sz w:val="16"/>
                                    <w:szCs w:val="16"/>
                                  </w:rPr>
                                </w:pPr>
                                <w:r>
                                  <w:rPr>
                                    <w:szCs w:val="21"/>
                                  </w:rPr>
                                  <w:fldChar w:fldCharType="begin"/>
                                </w:r>
                                <w:r>
                                  <w:instrText>PAGE    \* MERGEFORMAT</w:instrText>
                                </w:r>
                                <w:r>
                                  <w:rPr>
                                    <w:szCs w:val="21"/>
                                  </w:rPr>
                                  <w:fldChar w:fldCharType="separate"/>
                                </w:r>
                                <w:r w:rsidR="00EE5CCB" w:rsidRPr="00EE5CCB">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26"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BiTcSSYwMAACUJ&#10;AAAOAAAAAAAAAAAAAAAAAC4CAABkcnMvZTJvRG9jLnhtbFBLAQItABQABgAIAAAAIQDSl2sH2wAA&#10;AAQBAAAPAAAAAAAAAAAAAAAAAL0FAABkcnMvZG93bnJldi54bWxQSwUGAAAAAAQABADzAAAAxQYA&#10;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5C6E45" w:rsidRDefault="005C6E45">
                          <w:pPr>
                            <w:pStyle w:val="Pieddepage"/>
                            <w:jc w:val="center"/>
                            <w:rPr>
                              <w:sz w:val="16"/>
                              <w:szCs w:val="16"/>
                            </w:rPr>
                          </w:pPr>
                          <w:r>
                            <w:rPr>
                              <w:szCs w:val="21"/>
                            </w:rPr>
                            <w:fldChar w:fldCharType="begin"/>
                          </w:r>
                          <w:r>
                            <w:instrText>PAGE    \* MERGEFORMAT</w:instrText>
                          </w:r>
                          <w:r>
                            <w:rPr>
                              <w:szCs w:val="21"/>
                            </w:rPr>
                            <w:fldChar w:fldCharType="separate"/>
                          </w:r>
                          <w:r w:rsidR="00EE5CCB" w:rsidRPr="00EE5CCB">
                            <w:rPr>
                              <w:noProof/>
                              <w:sz w:val="16"/>
                              <w:szCs w:val="16"/>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CCB" w:rsidRDefault="00EE5CCB" w:rsidP="006D63CE">
      <w:pPr>
        <w:spacing w:after="0" w:line="240" w:lineRule="auto"/>
      </w:pPr>
      <w:r>
        <w:separator/>
      </w:r>
    </w:p>
  </w:footnote>
  <w:footnote w:type="continuationSeparator" w:id="0">
    <w:p w:rsidR="00EE5CCB" w:rsidRDefault="00EE5CCB" w:rsidP="006D63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re"/>
      <w:id w:val="77547040"/>
      <w:placeholder>
        <w:docPart w:val="F47D40F614E04D6799C9D875B0427C1C"/>
      </w:placeholder>
      <w:dataBinding w:prefixMappings="xmlns:ns0='http://schemas.openxmlformats.org/package/2006/metadata/core-properties' xmlns:ns1='http://purl.org/dc/elements/1.1/'" w:xpath="/ns0:coreProperties[1]/ns1:title[1]" w:storeItemID="{6C3C8BC8-F283-45AE-878A-BAB7291924A1}"/>
      <w:text/>
    </w:sdtPr>
    <w:sdtEndPr/>
    <w:sdtContent>
      <w:p w:rsidR="005C6E45" w:rsidRDefault="005C6E45" w:rsidP="006D63CE">
        <w:pPr>
          <w:pStyle w:val="En-tte"/>
          <w:pBdr>
            <w:between w:val="single" w:sz="4" w:space="1" w:color="4F81BD" w:themeColor="accent1"/>
          </w:pBdr>
          <w:spacing w:line="276" w:lineRule="auto"/>
          <w:jc w:val="center"/>
        </w:pPr>
        <w:r>
          <w:rPr>
            <w:rFonts w:hint="cs"/>
            <w:rtl/>
          </w:rPr>
          <w:t>محاضرات السداسي الثاني في مقياس تاريخ الحضارات القديمة                                                        د. حفيظة لعياضي</w:t>
        </w:r>
      </w:p>
    </w:sdtContent>
  </w:sdt>
  <w:sdt>
    <w:sdtPr>
      <w:alias w:val="Date"/>
      <w:id w:val="77547044"/>
      <w:placeholder>
        <w:docPart w:val="8EBC2EDB39CD41EC988F829F3634467A"/>
      </w:placeholder>
      <w:showingPlcHdr/>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p w:rsidR="005C6E45" w:rsidRDefault="005C6E45">
        <w:pPr>
          <w:pStyle w:val="En-tte"/>
          <w:pBdr>
            <w:between w:val="single" w:sz="4" w:space="1" w:color="4F81BD" w:themeColor="accent1"/>
          </w:pBdr>
          <w:spacing w:line="276" w:lineRule="auto"/>
          <w:jc w:val="center"/>
        </w:pPr>
        <w:r>
          <w:t>[Choisir la date]</w:t>
        </w:r>
      </w:p>
    </w:sdtContent>
  </w:sdt>
  <w:p w:rsidR="005C6E45" w:rsidRDefault="005C6E4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F94C3C"/>
    <w:multiLevelType w:val="hybridMultilevel"/>
    <w:tmpl w:val="602A8E3E"/>
    <w:lvl w:ilvl="0" w:tplc="11543F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savePreviewPicture/>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E5B"/>
    <w:rsid w:val="000640DC"/>
    <w:rsid w:val="00074FDE"/>
    <w:rsid w:val="000C0E6D"/>
    <w:rsid w:val="000E3E8C"/>
    <w:rsid w:val="000E4248"/>
    <w:rsid w:val="00102525"/>
    <w:rsid w:val="0018478C"/>
    <w:rsid w:val="001B0C33"/>
    <w:rsid w:val="001B7673"/>
    <w:rsid w:val="001F61A5"/>
    <w:rsid w:val="00237D4F"/>
    <w:rsid w:val="00247D61"/>
    <w:rsid w:val="0026772C"/>
    <w:rsid w:val="002A1D52"/>
    <w:rsid w:val="002C6986"/>
    <w:rsid w:val="002D27B1"/>
    <w:rsid w:val="002E1D57"/>
    <w:rsid w:val="00315256"/>
    <w:rsid w:val="00334F1F"/>
    <w:rsid w:val="003473C8"/>
    <w:rsid w:val="00361FA8"/>
    <w:rsid w:val="003A4967"/>
    <w:rsid w:val="003B0876"/>
    <w:rsid w:val="003B30EF"/>
    <w:rsid w:val="003D64F5"/>
    <w:rsid w:val="003F1AE7"/>
    <w:rsid w:val="00420233"/>
    <w:rsid w:val="00426347"/>
    <w:rsid w:val="00491279"/>
    <w:rsid w:val="004966DF"/>
    <w:rsid w:val="00532E5B"/>
    <w:rsid w:val="005C6E45"/>
    <w:rsid w:val="0062652E"/>
    <w:rsid w:val="00636F70"/>
    <w:rsid w:val="00651524"/>
    <w:rsid w:val="00663B4A"/>
    <w:rsid w:val="0069182B"/>
    <w:rsid w:val="006C6C95"/>
    <w:rsid w:val="006D63CE"/>
    <w:rsid w:val="006E3069"/>
    <w:rsid w:val="006E5017"/>
    <w:rsid w:val="007072A6"/>
    <w:rsid w:val="0077184E"/>
    <w:rsid w:val="007E5850"/>
    <w:rsid w:val="007F4C7B"/>
    <w:rsid w:val="008678F7"/>
    <w:rsid w:val="0088251B"/>
    <w:rsid w:val="008A451F"/>
    <w:rsid w:val="0091295C"/>
    <w:rsid w:val="00923901"/>
    <w:rsid w:val="009613CD"/>
    <w:rsid w:val="00964C12"/>
    <w:rsid w:val="00975369"/>
    <w:rsid w:val="009A02E3"/>
    <w:rsid w:val="009E6395"/>
    <w:rsid w:val="00A82D0A"/>
    <w:rsid w:val="00A84A0E"/>
    <w:rsid w:val="00B07C95"/>
    <w:rsid w:val="00B34A57"/>
    <w:rsid w:val="00BD4AE8"/>
    <w:rsid w:val="00BD7408"/>
    <w:rsid w:val="00BE69CB"/>
    <w:rsid w:val="00C059C6"/>
    <w:rsid w:val="00C53E22"/>
    <w:rsid w:val="00C81A48"/>
    <w:rsid w:val="00D068D1"/>
    <w:rsid w:val="00D5686D"/>
    <w:rsid w:val="00DC6B62"/>
    <w:rsid w:val="00DC7EA5"/>
    <w:rsid w:val="00E131E4"/>
    <w:rsid w:val="00EE5CCB"/>
    <w:rsid w:val="00EE7235"/>
    <w:rsid w:val="00F20C0B"/>
    <w:rsid w:val="00F2639D"/>
    <w:rsid w:val="00F43BB7"/>
    <w:rsid w:val="00F532B8"/>
    <w:rsid w:val="00F66E45"/>
    <w:rsid w:val="00FE3B6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63CE"/>
    <w:pPr>
      <w:tabs>
        <w:tab w:val="center" w:pos="4536"/>
        <w:tab w:val="right" w:pos="9072"/>
      </w:tabs>
      <w:spacing w:after="0" w:line="240" w:lineRule="auto"/>
    </w:pPr>
  </w:style>
  <w:style w:type="character" w:customStyle="1" w:styleId="En-tteCar">
    <w:name w:val="En-tête Car"/>
    <w:basedOn w:val="Policepardfaut"/>
    <w:link w:val="En-tte"/>
    <w:uiPriority w:val="99"/>
    <w:rsid w:val="006D63CE"/>
  </w:style>
  <w:style w:type="paragraph" w:styleId="Pieddepage">
    <w:name w:val="footer"/>
    <w:basedOn w:val="Normal"/>
    <w:link w:val="PieddepageCar"/>
    <w:uiPriority w:val="99"/>
    <w:unhideWhenUsed/>
    <w:rsid w:val="006D63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63CE"/>
  </w:style>
  <w:style w:type="paragraph" w:styleId="Textedebulles">
    <w:name w:val="Balloon Text"/>
    <w:basedOn w:val="Normal"/>
    <w:link w:val="TextedebullesCar"/>
    <w:uiPriority w:val="99"/>
    <w:semiHidden/>
    <w:unhideWhenUsed/>
    <w:rsid w:val="006D63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63CE"/>
    <w:rPr>
      <w:rFonts w:ascii="Tahoma" w:hAnsi="Tahoma" w:cs="Tahoma"/>
      <w:sz w:val="16"/>
      <w:szCs w:val="16"/>
    </w:rPr>
  </w:style>
  <w:style w:type="paragraph" w:styleId="Paragraphedeliste">
    <w:name w:val="List Paragraph"/>
    <w:basedOn w:val="Normal"/>
    <w:uiPriority w:val="34"/>
    <w:qFormat/>
    <w:rsid w:val="00315256"/>
    <w:pPr>
      <w:ind w:left="720"/>
      <w:contextualSpacing/>
    </w:pPr>
  </w:style>
  <w:style w:type="paragraph" w:styleId="Notedefin">
    <w:name w:val="endnote text"/>
    <w:basedOn w:val="Normal"/>
    <w:link w:val="NotedefinCar"/>
    <w:uiPriority w:val="99"/>
    <w:semiHidden/>
    <w:unhideWhenUsed/>
    <w:rsid w:val="00D5686D"/>
    <w:pPr>
      <w:spacing w:after="0" w:line="240" w:lineRule="auto"/>
    </w:pPr>
    <w:rPr>
      <w:sz w:val="20"/>
      <w:szCs w:val="20"/>
    </w:rPr>
  </w:style>
  <w:style w:type="character" w:customStyle="1" w:styleId="NotedefinCar">
    <w:name w:val="Note de fin Car"/>
    <w:basedOn w:val="Policepardfaut"/>
    <w:link w:val="Notedefin"/>
    <w:uiPriority w:val="99"/>
    <w:semiHidden/>
    <w:rsid w:val="00D5686D"/>
    <w:rPr>
      <w:sz w:val="20"/>
      <w:szCs w:val="20"/>
    </w:rPr>
  </w:style>
  <w:style w:type="character" w:styleId="Appeldenotedefin">
    <w:name w:val="endnote reference"/>
    <w:basedOn w:val="Policepardfaut"/>
    <w:uiPriority w:val="99"/>
    <w:semiHidden/>
    <w:unhideWhenUsed/>
    <w:rsid w:val="00D5686D"/>
    <w:rPr>
      <w:vertAlign w:val="superscript"/>
    </w:rPr>
  </w:style>
  <w:style w:type="paragraph" w:styleId="Notedebasdepage">
    <w:name w:val="footnote text"/>
    <w:basedOn w:val="Normal"/>
    <w:link w:val="NotedebasdepageCar"/>
    <w:uiPriority w:val="99"/>
    <w:semiHidden/>
    <w:unhideWhenUsed/>
    <w:rsid w:val="00D56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686D"/>
    <w:rPr>
      <w:sz w:val="20"/>
      <w:szCs w:val="20"/>
    </w:rPr>
  </w:style>
  <w:style w:type="character" w:styleId="Appelnotedebasdep">
    <w:name w:val="footnote reference"/>
    <w:basedOn w:val="Policepardfaut"/>
    <w:uiPriority w:val="99"/>
    <w:semiHidden/>
    <w:unhideWhenUsed/>
    <w:rsid w:val="00D5686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63CE"/>
    <w:pPr>
      <w:tabs>
        <w:tab w:val="center" w:pos="4536"/>
        <w:tab w:val="right" w:pos="9072"/>
      </w:tabs>
      <w:spacing w:after="0" w:line="240" w:lineRule="auto"/>
    </w:pPr>
  </w:style>
  <w:style w:type="character" w:customStyle="1" w:styleId="En-tteCar">
    <w:name w:val="En-tête Car"/>
    <w:basedOn w:val="Policepardfaut"/>
    <w:link w:val="En-tte"/>
    <w:uiPriority w:val="99"/>
    <w:rsid w:val="006D63CE"/>
  </w:style>
  <w:style w:type="paragraph" w:styleId="Pieddepage">
    <w:name w:val="footer"/>
    <w:basedOn w:val="Normal"/>
    <w:link w:val="PieddepageCar"/>
    <w:uiPriority w:val="99"/>
    <w:unhideWhenUsed/>
    <w:rsid w:val="006D63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63CE"/>
  </w:style>
  <w:style w:type="paragraph" w:styleId="Textedebulles">
    <w:name w:val="Balloon Text"/>
    <w:basedOn w:val="Normal"/>
    <w:link w:val="TextedebullesCar"/>
    <w:uiPriority w:val="99"/>
    <w:semiHidden/>
    <w:unhideWhenUsed/>
    <w:rsid w:val="006D63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63CE"/>
    <w:rPr>
      <w:rFonts w:ascii="Tahoma" w:hAnsi="Tahoma" w:cs="Tahoma"/>
      <w:sz w:val="16"/>
      <w:szCs w:val="16"/>
    </w:rPr>
  </w:style>
  <w:style w:type="paragraph" w:styleId="Paragraphedeliste">
    <w:name w:val="List Paragraph"/>
    <w:basedOn w:val="Normal"/>
    <w:uiPriority w:val="34"/>
    <w:qFormat/>
    <w:rsid w:val="00315256"/>
    <w:pPr>
      <w:ind w:left="720"/>
      <w:contextualSpacing/>
    </w:pPr>
  </w:style>
  <w:style w:type="paragraph" w:styleId="Notedefin">
    <w:name w:val="endnote text"/>
    <w:basedOn w:val="Normal"/>
    <w:link w:val="NotedefinCar"/>
    <w:uiPriority w:val="99"/>
    <w:semiHidden/>
    <w:unhideWhenUsed/>
    <w:rsid w:val="00D5686D"/>
    <w:pPr>
      <w:spacing w:after="0" w:line="240" w:lineRule="auto"/>
    </w:pPr>
    <w:rPr>
      <w:sz w:val="20"/>
      <w:szCs w:val="20"/>
    </w:rPr>
  </w:style>
  <w:style w:type="character" w:customStyle="1" w:styleId="NotedefinCar">
    <w:name w:val="Note de fin Car"/>
    <w:basedOn w:val="Policepardfaut"/>
    <w:link w:val="Notedefin"/>
    <w:uiPriority w:val="99"/>
    <w:semiHidden/>
    <w:rsid w:val="00D5686D"/>
    <w:rPr>
      <w:sz w:val="20"/>
      <w:szCs w:val="20"/>
    </w:rPr>
  </w:style>
  <w:style w:type="character" w:styleId="Appeldenotedefin">
    <w:name w:val="endnote reference"/>
    <w:basedOn w:val="Policepardfaut"/>
    <w:uiPriority w:val="99"/>
    <w:semiHidden/>
    <w:unhideWhenUsed/>
    <w:rsid w:val="00D5686D"/>
    <w:rPr>
      <w:vertAlign w:val="superscript"/>
    </w:rPr>
  </w:style>
  <w:style w:type="paragraph" w:styleId="Notedebasdepage">
    <w:name w:val="footnote text"/>
    <w:basedOn w:val="Normal"/>
    <w:link w:val="NotedebasdepageCar"/>
    <w:uiPriority w:val="99"/>
    <w:semiHidden/>
    <w:unhideWhenUsed/>
    <w:rsid w:val="00D56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686D"/>
    <w:rPr>
      <w:sz w:val="20"/>
      <w:szCs w:val="20"/>
    </w:rPr>
  </w:style>
  <w:style w:type="character" w:styleId="Appelnotedebasdep">
    <w:name w:val="footnote reference"/>
    <w:basedOn w:val="Policepardfaut"/>
    <w:uiPriority w:val="99"/>
    <w:semiHidden/>
    <w:unhideWhenUsed/>
    <w:rsid w:val="00D568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47D40F614E04D6799C9D875B0427C1C"/>
        <w:category>
          <w:name w:val="Général"/>
          <w:gallery w:val="placeholder"/>
        </w:category>
        <w:types>
          <w:type w:val="bbPlcHdr"/>
        </w:types>
        <w:behaviors>
          <w:behavior w:val="content"/>
        </w:behaviors>
        <w:guid w:val="{C48F10AE-DBA4-4597-BBAC-662CBA3F1B51}"/>
      </w:docPartPr>
      <w:docPartBody>
        <w:p w:rsidR="004A43E5" w:rsidRDefault="004A43E5" w:rsidP="004A43E5">
          <w:pPr>
            <w:pStyle w:val="F47D40F614E04D6799C9D875B0427C1C"/>
          </w:pPr>
          <w:r>
            <w:t>[Titre du document]</w:t>
          </w:r>
        </w:p>
      </w:docPartBody>
    </w:docPart>
    <w:docPart>
      <w:docPartPr>
        <w:name w:val="8EBC2EDB39CD41EC988F829F3634467A"/>
        <w:category>
          <w:name w:val="Général"/>
          <w:gallery w:val="placeholder"/>
        </w:category>
        <w:types>
          <w:type w:val="bbPlcHdr"/>
        </w:types>
        <w:behaviors>
          <w:behavior w:val="content"/>
        </w:behaviors>
        <w:guid w:val="{A3CA73F3-EF7C-4353-A317-5F9466293B9E}"/>
      </w:docPartPr>
      <w:docPartBody>
        <w:p w:rsidR="004A43E5" w:rsidRDefault="004A43E5" w:rsidP="004A43E5">
          <w:pPr>
            <w:pStyle w:val="8EBC2EDB39CD41EC988F829F3634467A"/>
          </w:pPr>
          <w:r>
            <w:t>[Choisir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3E5"/>
    <w:rsid w:val="002A508D"/>
    <w:rsid w:val="004A43E5"/>
    <w:rsid w:val="006C3F0A"/>
    <w:rsid w:val="00F17E1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47D40F614E04D6799C9D875B0427C1C">
    <w:name w:val="F47D40F614E04D6799C9D875B0427C1C"/>
    <w:rsid w:val="004A43E5"/>
  </w:style>
  <w:style w:type="paragraph" w:customStyle="1" w:styleId="8EBC2EDB39CD41EC988F829F3634467A">
    <w:name w:val="8EBC2EDB39CD41EC988F829F3634467A"/>
    <w:rsid w:val="004A43E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47D40F614E04D6799C9D875B0427C1C">
    <w:name w:val="F47D40F614E04D6799C9D875B0427C1C"/>
    <w:rsid w:val="004A43E5"/>
  </w:style>
  <w:style w:type="paragraph" w:customStyle="1" w:styleId="8EBC2EDB39CD41EC988F829F3634467A">
    <w:name w:val="8EBC2EDB39CD41EC988F829F3634467A"/>
    <w:rsid w:val="004A43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D4C81-FC82-4970-B4E8-95DADA99C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2376</TotalTime>
  <Pages>5</Pages>
  <Words>1087</Words>
  <Characters>5983</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محاضرات السداسي الثاني في مقياس تاريخ الحضارات القديمة                                                        د. حفيظة لعياضي</vt:lpstr>
    </vt:vector>
  </TitlesOfParts>
  <Company/>
  <LinksUpToDate>false</LinksUpToDate>
  <CharactersWithSpaces>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محاضرات السداسي الثاني في مقياس تاريخ الحضارات القديمة                                                        د. حفيظة لعياضي</dc:title>
  <dc:creator>Acer</dc:creator>
  <cp:lastModifiedBy>Acer</cp:lastModifiedBy>
  <cp:revision>18</cp:revision>
  <dcterms:created xsi:type="dcterms:W3CDTF">2021-04-17T11:59:00Z</dcterms:created>
  <dcterms:modified xsi:type="dcterms:W3CDTF">2023-05-05T09:08:00Z</dcterms:modified>
</cp:coreProperties>
</file>