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3934" w:rsidRPr="0026700E" w:rsidRDefault="003C3934" w:rsidP="003C3934">
      <w:pPr>
        <w:autoSpaceDE w:val="0"/>
        <w:autoSpaceDN w:val="0"/>
        <w:adjustRightInd w:val="0"/>
        <w:spacing w:line="240" w:lineRule="auto"/>
        <w:rPr>
          <w:rFonts w:asciiTheme="majorBidi" w:hAnsiTheme="majorBidi" w:cstheme="majorBidi"/>
          <w:b/>
          <w:bCs/>
          <w:sz w:val="28"/>
          <w:szCs w:val="28"/>
        </w:rPr>
      </w:pPr>
      <w:r w:rsidRPr="0026700E">
        <w:rPr>
          <w:rFonts w:asciiTheme="majorBidi" w:hAnsiTheme="majorBidi" w:cstheme="majorBidi"/>
          <w:b/>
          <w:bCs/>
          <w:sz w:val="28"/>
          <w:szCs w:val="28"/>
        </w:rPr>
        <w:t>Les bétons de masse</w:t>
      </w:r>
    </w:p>
    <w:p w:rsidR="003C3934" w:rsidRPr="006E1580" w:rsidRDefault="003C3934" w:rsidP="003C3934">
      <w:pPr>
        <w:autoSpaceDE w:val="0"/>
        <w:autoSpaceDN w:val="0"/>
        <w:adjustRightInd w:val="0"/>
        <w:spacing w:after="0" w:line="276" w:lineRule="auto"/>
        <w:jc w:val="both"/>
        <w:rPr>
          <w:rFonts w:asciiTheme="majorBidi" w:hAnsiTheme="majorBidi" w:cstheme="majorBidi"/>
          <w:color w:val="000000"/>
          <w:sz w:val="24"/>
          <w:szCs w:val="24"/>
        </w:rPr>
      </w:pPr>
      <w:r w:rsidRPr="006E1580">
        <w:rPr>
          <w:rFonts w:asciiTheme="majorBidi" w:hAnsiTheme="majorBidi" w:cstheme="majorBidi"/>
          <w:color w:val="000000"/>
          <w:sz w:val="24"/>
          <w:szCs w:val="24"/>
        </w:rPr>
        <w:t xml:space="preserve">Certaines parties d’ouvrages sont constitués d’éléments de structure de plusieurs mètres d’épaisseur tels que les barrages, des éléments de structure de viaducs (semelles, piles, voussoirs sur pile), de radiers de centrales thermiques ou nucléaires ou d’ouvrages </w:t>
      </w:r>
      <w:r w:rsidRPr="006E1580">
        <w:rPr>
          <w:rFonts w:asciiTheme="majorBidi" w:hAnsiTheme="majorBidi" w:cstheme="majorBidi"/>
          <w:sz w:val="24"/>
          <w:szCs w:val="24"/>
        </w:rPr>
        <w:t>enterrés (stations de métro), de centrales</w:t>
      </w:r>
      <w:r w:rsidRPr="006E1580">
        <w:rPr>
          <w:rFonts w:asciiTheme="majorBidi" w:hAnsiTheme="majorBidi" w:cstheme="majorBidi"/>
          <w:color w:val="000000"/>
          <w:sz w:val="24"/>
          <w:szCs w:val="24"/>
        </w:rPr>
        <w:t xml:space="preserve"> </w:t>
      </w:r>
      <w:r w:rsidRPr="006E1580">
        <w:rPr>
          <w:rFonts w:asciiTheme="majorBidi" w:hAnsiTheme="majorBidi" w:cstheme="majorBidi"/>
          <w:sz w:val="24"/>
          <w:szCs w:val="24"/>
        </w:rPr>
        <w:t>hydroélectriques, etc.</w:t>
      </w:r>
    </w:p>
    <w:p w:rsidR="003C3934" w:rsidRPr="006E1580" w:rsidRDefault="003C3934" w:rsidP="003C3934">
      <w:pPr>
        <w:autoSpaceDE w:val="0"/>
        <w:autoSpaceDN w:val="0"/>
        <w:adjustRightInd w:val="0"/>
        <w:spacing w:after="0" w:line="276" w:lineRule="auto"/>
        <w:jc w:val="both"/>
        <w:rPr>
          <w:rFonts w:asciiTheme="majorBidi" w:hAnsiTheme="majorBidi" w:cstheme="majorBidi"/>
          <w:sz w:val="24"/>
          <w:szCs w:val="24"/>
        </w:rPr>
      </w:pPr>
      <w:r w:rsidRPr="006E1580">
        <w:rPr>
          <w:rFonts w:asciiTheme="majorBidi" w:hAnsiTheme="majorBidi" w:cstheme="majorBidi"/>
          <w:sz w:val="24"/>
          <w:szCs w:val="24"/>
        </w:rPr>
        <w:t xml:space="preserve">Pour la réalisation de ces structures de forte épaisseur, l’enjeu essentiel est de minimiser le dégagement de chaleur du béton lors de son hydratation afin de se prémunir des risques de Réaction </w:t>
      </w:r>
      <w:proofErr w:type="spellStart"/>
      <w:r w:rsidRPr="006E1580">
        <w:rPr>
          <w:rFonts w:asciiTheme="majorBidi" w:hAnsiTheme="majorBidi" w:cstheme="majorBidi"/>
          <w:sz w:val="24"/>
          <w:szCs w:val="24"/>
        </w:rPr>
        <w:t>Sulfatique</w:t>
      </w:r>
      <w:proofErr w:type="spellEnd"/>
      <w:r w:rsidRPr="006E1580">
        <w:rPr>
          <w:rFonts w:asciiTheme="majorBidi" w:hAnsiTheme="majorBidi" w:cstheme="majorBidi"/>
          <w:sz w:val="24"/>
          <w:szCs w:val="24"/>
        </w:rPr>
        <w:t xml:space="preserve"> Interne d’une part, et des risques de fissuration accrus au jeune âge et liés aux gradients de température d’autre part.</w:t>
      </w:r>
      <w:r>
        <w:rPr>
          <w:rFonts w:asciiTheme="majorBidi" w:hAnsiTheme="majorBidi" w:cstheme="majorBidi"/>
          <w:sz w:val="24"/>
          <w:szCs w:val="24"/>
        </w:rPr>
        <w:t xml:space="preserve"> </w:t>
      </w:r>
      <w:r w:rsidRPr="006E1580">
        <w:rPr>
          <w:rFonts w:asciiTheme="majorBidi" w:hAnsiTheme="majorBidi" w:cstheme="majorBidi"/>
          <w:sz w:val="24"/>
          <w:szCs w:val="24"/>
        </w:rPr>
        <w:t>Compte tenu des forts volumes en jeu, le prix unitaire du béton est nécessairement à optimiser pour l’économie globale du projet.</w:t>
      </w:r>
    </w:p>
    <w:p w:rsidR="003C3934" w:rsidRPr="009F1BA9" w:rsidRDefault="003C3934" w:rsidP="003C3934">
      <w:pPr>
        <w:pStyle w:val="Paragraphedeliste"/>
        <w:numPr>
          <w:ilvl w:val="0"/>
          <w:numId w:val="1"/>
        </w:numPr>
        <w:autoSpaceDE w:val="0"/>
        <w:autoSpaceDN w:val="0"/>
        <w:adjustRightInd w:val="0"/>
        <w:spacing w:before="240" w:line="240" w:lineRule="auto"/>
        <w:rPr>
          <w:rFonts w:asciiTheme="majorBidi" w:hAnsiTheme="majorBidi" w:cstheme="majorBidi"/>
          <w:sz w:val="24"/>
          <w:szCs w:val="24"/>
        </w:rPr>
      </w:pPr>
      <w:r w:rsidRPr="009F1BA9">
        <w:rPr>
          <w:rFonts w:asciiTheme="majorBidi" w:hAnsiTheme="majorBidi" w:cstheme="majorBidi"/>
          <w:b/>
          <w:bCs/>
          <w:i/>
          <w:iCs/>
          <w:sz w:val="24"/>
          <w:szCs w:val="24"/>
        </w:rPr>
        <w:t>Les bétons armés de grande épaisseur</w:t>
      </w:r>
    </w:p>
    <w:p w:rsidR="003C3934" w:rsidRPr="006E1580" w:rsidRDefault="003C3934" w:rsidP="003C3934">
      <w:pPr>
        <w:autoSpaceDE w:val="0"/>
        <w:autoSpaceDN w:val="0"/>
        <w:adjustRightInd w:val="0"/>
        <w:spacing w:after="0" w:line="276" w:lineRule="auto"/>
        <w:jc w:val="both"/>
        <w:rPr>
          <w:rFonts w:asciiTheme="majorBidi" w:hAnsiTheme="majorBidi" w:cstheme="majorBidi"/>
          <w:b/>
          <w:bCs/>
          <w:i/>
          <w:iCs/>
          <w:sz w:val="24"/>
          <w:szCs w:val="24"/>
        </w:rPr>
      </w:pPr>
      <w:r w:rsidRPr="006E1580">
        <w:rPr>
          <w:rFonts w:asciiTheme="majorBidi" w:hAnsiTheme="majorBidi" w:cstheme="majorBidi"/>
          <w:sz w:val="24"/>
          <w:szCs w:val="24"/>
        </w:rPr>
        <w:t xml:space="preserve">Outre l’aspect thermique mentionné ci-dessus, les bétons armé utilisés pour la réalisation de pièces épaisses doivent généralement répondre à une problématique </w:t>
      </w:r>
      <w:r>
        <w:rPr>
          <w:rFonts w:asciiTheme="majorBidi" w:hAnsiTheme="majorBidi" w:cstheme="majorBidi"/>
          <w:sz w:val="24"/>
          <w:szCs w:val="24"/>
        </w:rPr>
        <w:t xml:space="preserve">de durabilité, de </w:t>
      </w:r>
      <w:r w:rsidRPr="006E1580">
        <w:rPr>
          <w:rFonts w:asciiTheme="majorBidi" w:hAnsiTheme="majorBidi" w:cstheme="majorBidi"/>
          <w:sz w:val="24"/>
          <w:szCs w:val="24"/>
        </w:rPr>
        <w:t>résistance mécanique adaptée, mais également de consistance adéquate pour une mise en œuvre aisée malgré souvent une forte densité d’armatures (figure 8).</w:t>
      </w:r>
    </w:p>
    <w:p w:rsidR="003C3934" w:rsidRPr="006E1580" w:rsidRDefault="003C3934" w:rsidP="003C3934">
      <w:pPr>
        <w:autoSpaceDE w:val="0"/>
        <w:autoSpaceDN w:val="0"/>
        <w:adjustRightInd w:val="0"/>
        <w:spacing w:after="0" w:line="276" w:lineRule="auto"/>
        <w:jc w:val="both"/>
        <w:rPr>
          <w:rFonts w:asciiTheme="majorBidi" w:hAnsiTheme="majorBidi" w:cstheme="majorBidi"/>
          <w:sz w:val="24"/>
          <w:szCs w:val="24"/>
        </w:rPr>
      </w:pPr>
      <w:r w:rsidRPr="006E1580">
        <w:rPr>
          <w:rFonts w:asciiTheme="majorBidi" w:hAnsiTheme="majorBidi" w:cstheme="majorBidi"/>
          <w:sz w:val="24"/>
          <w:szCs w:val="24"/>
        </w:rPr>
        <w:t>Ces bétons sont formulés en incorporant une forte proportion d’additions minérales (cendres volantes et/ou laitier moulu) en substitution partielle du ciment Portland. Le diamètre du plus gros granulat peut être augmenté (32 voire 40 mm) afin de réduire la quantité de ciment dans la formule.</w:t>
      </w:r>
      <w:r>
        <w:rPr>
          <w:rFonts w:asciiTheme="majorBidi" w:hAnsiTheme="majorBidi" w:cstheme="majorBidi"/>
          <w:sz w:val="24"/>
          <w:szCs w:val="24"/>
        </w:rPr>
        <w:t xml:space="preserve"> </w:t>
      </w:r>
      <w:r w:rsidRPr="006E1580">
        <w:rPr>
          <w:rFonts w:asciiTheme="majorBidi" w:hAnsiTheme="majorBidi" w:cstheme="majorBidi"/>
          <w:sz w:val="24"/>
          <w:szCs w:val="24"/>
        </w:rPr>
        <w:t>Le béton est produit en minimisant sa température initiale à l’état frais (protection des granulats de l’ensoleillement, refroidissement de l’eau de gâchage, incorporation de glace pilée en remplacement d’une certaine proportion d’eau de gâchage, refroidissement du béton frais à l’azote liquide).</w:t>
      </w:r>
    </w:p>
    <w:p w:rsidR="003C3934" w:rsidRPr="006E1580" w:rsidRDefault="003C3934" w:rsidP="003C3934">
      <w:pPr>
        <w:autoSpaceDE w:val="0"/>
        <w:autoSpaceDN w:val="0"/>
        <w:adjustRightInd w:val="0"/>
        <w:spacing w:after="0" w:line="276" w:lineRule="auto"/>
        <w:jc w:val="both"/>
        <w:rPr>
          <w:rFonts w:asciiTheme="majorBidi" w:hAnsiTheme="majorBidi" w:cstheme="majorBidi"/>
          <w:color w:val="000000"/>
          <w:sz w:val="24"/>
          <w:szCs w:val="24"/>
        </w:rPr>
      </w:pPr>
      <w:r w:rsidRPr="006E1580">
        <w:rPr>
          <w:rFonts w:asciiTheme="majorBidi" w:hAnsiTheme="majorBidi" w:cstheme="majorBidi"/>
          <w:color w:val="000000"/>
          <w:sz w:val="24"/>
          <w:szCs w:val="24"/>
        </w:rPr>
        <w:t>Enfin, dans certains cas extrêmes, la mise en place d’un système de refroidissement du béton dans la masse (circulation d’eau dans des serpentins placés avant bétonnage) pendant le durcissement du béton pourra également être envisagée.</w:t>
      </w:r>
    </w:p>
    <w:p w:rsidR="003C3934" w:rsidRPr="0026700E" w:rsidRDefault="003C3934" w:rsidP="003C3934">
      <w:pPr>
        <w:pStyle w:val="Paragraphedeliste"/>
        <w:numPr>
          <w:ilvl w:val="0"/>
          <w:numId w:val="1"/>
        </w:numPr>
        <w:autoSpaceDE w:val="0"/>
        <w:autoSpaceDN w:val="0"/>
        <w:adjustRightInd w:val="0"/>
        <w:spacing w:before="240" w:line="240" w:lineRule="auto"/>
        <w:rPr>
          <w:rFonts w:asciiTheme="majorBidi" w:hAnsiTheme="majorBidi" w:cstheme="majorBidi"/>
          <w:b/>
          <w:bCs/>
          <w:i/>
          <w:iCs/>
          <w:color w:val="000000"/>
          <w:sz w:val="24"/>
          <w:szCs w:val="24"/>
        </w:rPr>
      </w:pPr>
      <w:r w:rsidRPr="0026700E">
        <w:rPr>
          <w:rFonts w:asciiTheme="majorBidi" w:hAnsiTheme="majorBidi" w:cstheme="majorBidi"/>
          <w:b/>
          <w:bCs/>
          <w:i/>
          <w:iCs/>
          <w:color w:val="000000"/>
          <w:sz w:val="24"/>
          <w:szCs w:val="24"/>
        </w:rPr>
        <w:t>Les bétons compactés au rouleau (BCR)</w:t>
      </w:r>
    </w:p>
    <w:p w:rsidR="003C3934" w:rsidRPr="006E1580" w:rsidRDefault="003C3934" w:rsidP="003C3934">
      <w:pPr>
        <w:autoSpaceDE w:val="0"/>
        <w:autoSpaceDN w:val="0"/>
        <w:adjustRightInd w:val="0"/>
        <w:spacing w:after="0" w:line="276" w:lineRule="auto"/>
        <w:rPr>
          <w:rFonts w:asciiTheme="majorBidi" w:hAnsiTheme="majorBidi" w:cstheme="majorBidi"/>
          <w:color w:val="000000"/>
          <w:sz w:val="24"/>
          <w:szCs w:val="24"/>
        </w:rPr>
      </w:pPr>
      <w:r w:rsidRPr="006E1580">
        <w:rPr>
          <w:rFonts w:asciiTheme="majorBidi" w:hAnsiTheme="majorBidi" w:cstheme="majorBidi"/>
          <w:color w:val="000000"/>
          <w:sz w:val="24"/>
          <w:szCs w:val="24"/>
        </w:rPr>
        <w:t xml:space="preserve">Ces bétons sont décrits en détail dans le paragraphe, </w:t>
      </w:r>
      <w:r w:rsidRPr="006E1580">
        <w:rPr>
          <w:rFonts w:asciiTheme="majorBidi" w:hAnsiTheme="majorBidi" w:cstheme="majorBidi"/>
          <w:i/>
          <w:iCs/>
          <w:color w:val="000000"/>
          <w:sz w:val="24"/>
          <w:szCs w:val="24"/>
        </w:rPr>
        <w:t>les bétons de consistance</w:t>
      </w:r>
      <w:r w:rsidRPr="006E1580">
        <w:rPr>
          <w:rFonts w:asciiTheme="majorBidi" w:hAnsiTheme="majorBidi" w:cstheme="majorBidi"/>
          <w:color w:val="000000"/>
          <w:sz w:val="24"/>
          <w:szCs w:val="24"/>
        </w:rPr>
        <w:t xml:space="preserve"> </w:t>
      </w:r>
      <w:r w:rsidRPr="006E1580">
        <w:rPr>
          <w:rFonts w:asciiTheme="majorBidi" w:hAnsiTheme="majorBidi" w:cstheme="majorBidi"/>
          <w:i/>
          <w:iCs/>
          <w:color w:val="000000"/>
          <w:sz w:val="24"/>
          <w:szCs w:val="24"/>
        </w:rPr>
        <w:t>intermédiaire (plastique à fluide)</w:t>
      </w:r>
      <w:r w:rsidRPr="006E1580">
        <w:rPr>
          <w:rFonts w:asciiTheme="majorBidi" w:hAnsiTheme="majorBidi" w:cstheme="majorBidi"/>
          <w:color w:val="000000"/>
          <w:sz w:val="24"/>
          <w:szCs w:val="24"/>
        </w:rPr>
        <w:t xml:space="preserve">, dédiés aux bétons de barrage tel que le barrage de Wadi </w:t>
      </w:r>
      <w:proofErr w:type="spellStart"/>
      <w:r w:rsidRPr="006E1580">
        <w:rPr>
          <w:rFonts w:asciiTheme="majorBidi" w:hAnsiTheme="majorBidi" w:cstheme="majorBidi"/>
          <w:color w:val="000000"/>
          <w:sz w:val="24"/>
          <w:szCs w:val="24"/>
        </w:rPr>
        <w:t>Dahqah</w:t>
      </w:r>
      <w:proofErr w:type="spellEnd"/>
      <w:r w:rsidRPr="006E1580">
        <w:rPr>
          <w:rFonts w:asciiTheme="majorBidi" w:hAnsiTheme="majorBidi" w:cstheme="majorBidi"/>
          <w:color w:val="000000"/>
          <w:sz w:val="24"/>
          <w:szCs w:val="24"/>
        </w:rPr>
        <w:t xml:space="preserve"> au Sultanat d'Oman (figure 1).</w:t>
      </w:r>
    </w:p>
    <w:p w:rsidR="003C3934" w:rsidRDefault="003C3934" w:rsidP="003C3934">
      <w:pPr>
        <w:autoSpaceDE w:val="0"/>
        <w:autoSpaceDN w:val="0"/>
        <w:adjustRightInd w:val="0"/>
        <w:spacing w:line="276" w:lineRule="auto"/>
        <w:jc w:val="both"/>
        <w:rPr>
          <w:rFonts w:asciiTheme="majorBidi" w:hAnsiTheme="majorBidi" w:cstheme="majorBidi"/>
          <w:color w:val="000000"/>
          <w:sz w:val="24"/>
          <w:szCs w:val="24"/>
        </w:rPr>
      </w:pPr>
      <w:r w:rsidRPr="006E1580">
        <w:rPr>
          <w:rFonts w:asciiTheme="majorBidi" w:hAnsiTheme="majorBidi" w:cstheme="majorBidi"/>
          <w:color w:val="000000"/>
          <w:sz w:val="24"/>
          <w:szCs w:val="24"/>
        </w:rPr>
        <w:t xml:space="preserve">Les BCR ont une résistance à la compression à long terme (90 jours) comprises entre 10 et 15 </w:t>
      </w:r>
      <w:proofErr w:type="spellStart"/>
      <w:r w:rsidRPr="006E1580">
        <w:rPr>
          <w:rFonts w:asciiTheme="majorBidi" w:hAnsiTheme="majorBidi" w:cstheme="majorBidi"/>
          <w:color w:val="000000"/>
          <w:sz w:val="24"/>
          <w:szCs w:val="24"/>
        </w:rPr>
        <w:t>MPa</w:t>
      </w:r>
      <w:proofErr w:type="spellEnd"/>
      <w:r w:rsidRPr="006E1580">
        <w:rPr>
          <w:rFonts w:asciiTheme="majorBidi" w:hAnsiTheme="majorBidi" w:cstheme="majorBidi"/>
          <w:color w:val="000000"/>
          <w:sz w:val="24"/>
          <w:szCs w:val="24"/>
        </w:rPr>
        <w:t xml:space="preserve">, présentent une consistance très ferme (terre humide). Ils sont formulés avec une très faible quantité de liant (80 à </w:t>
      </w:r>
      <w:r>
        <w:rPr>
          <w:rFonts w:asciiTheme="majorBidi" w:hAnsiTheme="majorBidi" w:cstheme="majorBidi"/>
          <w:color w:val="000000"/>
          <w:sz w:val="24"/>
          <w:szCs w:val="24"/>
        </w:rPr>
        <w:t>140 kg/m</w:t>
      </w:r>
      <w:r w:rsidRPr="00807A76">
        <w:rPr>
          <w:rFonts w:asciiTheme="majorBidi" w:hAnsiTheme="majorBidi" w:cstheme="majorBidi"/>
          <w:color w:val="000000"/>
          <w:sz w:val="24"/>
          <w:szCs w:val="24"/>
          <w:vertAlign w:val="superscript"/>
        </w:rPr>
        <w:t>3</w:t>
      </w:r>
      <w:r w:rsidRPr="006E1580">
        <w:rPr>
          <w:rFonts w:asciiTheme="majorBidi" w:hAnsiTheme="majorBidi" w:cstheme="majorBidi"/>
          <w:color w:val="000000"/>
          <w:sz w:val="24"/>
          <w:szCs w:val="24"/>
        </w:rPr>
        <w:t xml:space="preserve">) de faible </w:t>
      </w:r>
      <w:proofErr w:type="spellStart"/>
      <w:r w:rsidRPr="006E1580">
        <w:rPr>
          <w:rFonts w:asciiTheme="majorBidi" w:hAnsiTheme="majorBidi" w:cstheme="majorBidi"/>
          <w:color w:val="000000"/>
          <w:sz w:val="24"/>
          <w:szCs w:val="24"/>
        </w:rPr>
        <w:t>exothermie</w:t>
      </w:r>
      <w:proofErr w:type="spellEnd"/>
      <w:r w:rsidRPr="006E1580">
        <w:rPr>
          <w:rFonts w:asciiTheme="majorBidi" w:hAnsiTheme="majorBidi" w:cstheme="majorBidi"/>
          <w:color w:val="000000"/>
          <w:sz w:val="24"/>
          <w:szCs w:val="24"/>
        </w:rPr>
        <w:t xml:space="preserve"> ainsi qu’un squelette granulaire continu comportant des granulats de forte dimension (&gt; 50 mm).</w:t>
      </w:r>
    </w:p>
    <w:p w:rsidR="003C3934" w:rsidRDefault="003C3934" w:rsidP="003C3934">
      <w:pPr>
        <w:autoSpaceDE w:val="0"/>
        <w:autoSpaceDN w:val="0"/>
        <w:adjustRightInd w:val="0"/>
        <w:spacing w:line="276" w:lineRule="auto"/>
        <w:rPr>
          <w:rFonts w:asciiTheme="majorBidi" w:hAnsiTheme="majorBidi" w:cstheme="majorBidi"/>
          <w:color w:val="000000"/>
          <w:sz w:val="24"/>
          <w:szCs w:val="24"/>
        </w:rPr>
      </w:pPr>
      <w:r w:rsidRPr="009F1BA9">
        <w:rPr>
          <w:rFonts w:asciiTheme="majorBidi" w:hAnsiTheme="majorBidi" w:cstheme="majorBidi"/>
          <w:noProof/>
          <w:color w:val="000000"/>
          <w:sz w:val="24"/>
          <w:szCs w:val="24"/>
          <w:lang w:eastAsia="fr-FR"/>
        </w:rPr>
        <w:lastRenderedPageBreak/>
        <w:drawing>
          <wp:inline distT="0" distB="0" distL="0" distR="0" wp14:anchorId="4C80D0C3" wp14:editId="04D5A741">
            <wp:extent cx="5086483" cy="35242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90157" cy="3526796"/>
                    </a:xfrm>
                    <a:prstGeom prst="rect">
                      <a:avLst/>
                    </a:prstGeom>
                    <a:noFill/>
                    <a:ln>
                      <a:noFill/>
                    </a:ln>
                  </pic:spPr>
                </pic:pic>
              </a:graphicData>
            </a:graphic>
          </wp:inline>
        </w:drawing>
      </w:r>
    </w:p>
    <w:p w:rsidR="003C3934" w:rsidRDefault="003C3934" w:rsidP="003C3934">
      <w:pPr>
        <w:autoSpaceDE w:val="0"/>
        <w:autoSpaceDN w:val="0"/>
        <w:adjustRightInd w:val="0"/>
        <w:spacing w:after="0" w:line="240" w:lineRule="auto"/>
        <w:rPr>
          <w:rFonts w:asciiTheme="majorBidi" w:hAnsiTheme="majorBidi" w:cstheme="majorBidi"/>
        </w:rPr>
      </w:pPr>
      <w:r w:rsidRPr="009F1BA9">
        <w:rPr>
          <w:rFonts w:asciiTheme="majorBidi" w:hAnsiTheme="majorBidi" w:cstheme="majorBidi"/>
        </w:rPr>
        <w:t xml:space="preserve">Figure 8- Préparation ferraillage sur un plot de radier du barrage de Naga </w:t>
      </w:r>
      <w:proofErr w:type="spellStart"/>
      <w:r w:rsidRPr="009F1BA9">
        <w:rPr>
          <w:rFonts w:asciiTheme="majorBidi" w:hAnsiTheme="majorBidi" w:cstheme="majorBidi"/>
        </w:rPr>
        <w:t>Hammadi</w:t>
      </w:r>
      <w:proofErr w:type="spellEnd"/>
      <w:r w:rsidRPr="009F1BA9">
        <w:rPr>
          <w:rFonts w:asciiTheme="majorBidi" w:hAnsiTheme="majorBidi" w:cstheme="majorBidi"/>
        </w:rPr>
        <w:t xml:space="preserve"> en Égypte.</w:t>
      </w:r>
    </w:p>
    <w:p w:rsidR="003C3934" w:rsidRDefault="003C3934" w:rsidP="003C3934">
      <w:pPr>
        <w:autoSpaceDE w:val="0"/>
        <w:autoSpaceDN w:val="0"/>
        <w:adjustRightInd w:val="0"/>
        <w:spacing w:after="0" w:line="240" w:lineRule="auto"/>
        <w:rPr>
          <w:rFonts w:asciiTheme="majorBidi" w:hAnsiTheme="majorBidi" w:cstheme="majorBidi"/>
        </w:rPr>
      </w:pPr>
    </w:p>
    <w:p w:rsidR="003C3934" w:rsidRDefault="003C3934" w:rsidP="003C3934">
      <w:pPr>
        <w:autoSpaceDE w:val="0"/>
        <w:autoSpaceDN w:val="0"/>
        <w:adjustRightInd w:val="0"/>
        <w:spacing w:after="0" w:line="240" w:lineRule="auto"/>
        <w:rPr>
          <w:rFonts w:asciiTheme="majorBidi" w:hAnsiTheme="majorBidi" w:cstheme="majorBidi"/>
        </w:rPr>
      </w:pPr>
      <w:r w:rsidRPr="00762BC4">
        <w:rPr>
          <w:rFonts w:ascii="FrizQuadrata" w:hAnsi="FrizQuadrata" w:cs="FrizQuadrata"/>
          <w:noProof/>
          <w:color w:val="1E1F20"/>
          <w:sz w:val="36"/>
          <w:szCs w:val="36"/>
          <w:lang w:eastAsia="fr-FR"/>
        </w:rPr>
        <w:drawing>
          <wp:anchor distT="0" distB="0" distL="114300" distR="114300" simplePos="0" relativeHeight="251659264" behindDoc="0" locked="0" layoutInCell="1" allowOverlap="1" wp14:anchorId="137E16FF" wp14:editId="6744F8D2">
            <wp:simplePos x="901700" y="6711950"/>
            <wp:positionH relativeFrom="margin">
              <wp:align>left</wp:align>
            </wp:positionH>
            <wp:positionV relativeFrom="paragraph">
              <wp:align>top</wp:align>
            </wp:positionV>
            <wp:extent cx="4564380" cy="3790950"/>
            <wp:effectExtent l="0" t="0" r="762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64380" cy="3790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rPr>
        <w:br w:type="textWrapping" w:clear="all"/>
      </w:r>
    </w:p>
    <w:p w:rsidR="003C3934" w:rsidRPr="009F1BA9" w:rsidRDefault="003C3934" w:rsidP="003C3934">
      <w:pPr>
        <w:autoSpaceDE w:val="0"/>
        <w:autoSpaceDN w:val="0"/>
        <w:adjustRightInd w:val="0"/>
        <w:spacing w:after="0" w:line="240" w:lineRule="auto"/>
        <w:rPr>
          <w:rFonts w:asciiTheme="majorBidi" w:hAnsiTheme="majorBidi" w:cstheme="majorBidi"/>
          <w:rtl/>
        </w:rPr>
      </w:pPr>
      <w:r w:rsidRPr="009F1BA9">
        <w:rPr>
          <w:rFonts w:asciiTheme="majorBidi" w:hAnsiTheme="majorBidi" w:cstheme="majorBidi"/>
        </w:rPr>
        <w:t xml:space="preserve">Figure 1- Vue d’ensemble du barrage BCR de Wadi </w:t>
      </w:r>
      <w:proofErr w:type="spellStart"/>
      <w:r w:rsidRPr="009F1BA9">
        <w:rPr>
          <w:rFonts w:asciiTheme="majorBidi" w:hAnsiTheme="majorBidi" w:cstheme="majorBidi"/>
        </w:rPr>
        <w:t>Dahqah</w:t>
      </w:r>
      <w:proofErr w:type="spellEnd"/>
      <w:r w:rsidRPr="009F1BA9">
        <w:rPr>
          <w:rFonts w:asciiTheme="majorBidi" w:hAnsiTheme="majorBidi" w:cstheme="majorBidi"/>
        </w:rPr>
        <w:t xml:space="preserve"> au Sultanat d’Oman.</w:t>
      </w:r>
    </w:p>
    <w:p w:rsidR="005E200A" w:rsidRDefault="005E200A">
      <w:bookmarkStart w:id="0" w:name="_GoBack"/>
      <w:bookmarkEnd w:id="0"/>
    </w:p>
    <w:sectPr w:rsidR="005E200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izQuadrat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46345C"/>
    <w:multiLevelType w:val="hybridMultilevel"/>
    <w:tmpl w:val="59160698"/>
    <w:lvl w:ilvl="0" w:tplc="D5D62BF2">
      <w:start w:val="1"/>
      <w:numFmt w:val="lowerLetter"/>
      <w:lvlText w:val="%1)"/>
      <w:lvlJc w:val="left"/>
      <w:pPr>
        <w:ind w:left="720" w:hanging="360"/>
      </w:pPr>
      <w:rPr>
        <w:rFonts w:hint="default"/>
        <w:b/>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845"/>
    <w:rsid w:val="00091845"/>
    <w:rsid w:val="003C3934"/>
    <w:rsid w:val="005E200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A5FE4F-C474-489E-BF90-4AE3CBBAD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393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C39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426</Words>
  <Characters>2344</Characters>
  <Application>Microsoft Office Word</Application>
  <DocSecurity>0</DocSecurity>
  <Lines>19</Lines>
  <Paragraphs>5</Paragraphs>
  <ScaleCrop>false</ScaleCrop>
  <Company/>
  <LinksUpToDate>false</LinksUpToDate>
  <CharactersWithSpaces>2765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bibibnfo</dc:creator>
  <cp:keywords/>
  <dc:description/>
  <cp:lastModifiedBy>bibibnfo</cp:lastModifiedBy>
  <cp:revision>2</cp:revision>
  <dcterms:created xsi:type="dcterms:W3CDTF">2023-05-09T19:49:00Z</dcterms:created>
  <dcterms:modified xsi:type="dcterms:W3CDTF">2023-05-09T19:50:00Z</dcterms:modified>
</cp:coreProperties>
</file>