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2AAB" w:rsidRDefault="00752AAB" w:rsidP="00752AAB">
      <w:pPr>
        <w:tabs>
          <w:tab w:val="left" w:pos="1227"/>
        </w:tabs>
        <w:rPr>
          <w:rFonts w:asciiTheme="majorBidi" w:eastAsia="Garamond,Bold-Identity-H" w:hAnsiTheme="majorBidi" w:cstheme="majorBidi"/>
          <w:b/>
          <w:bCs/>
          <w:i/>
          <w:iCs/>
          <w:sz w:val="28"/>
          <w:szCs w:val="28"/>
        </w:rPr>
      </w:pPr>
      <w:r>
        <w:rPr>
          <w:rFonts w:asciiTheme="majorBidi" w:eastAsia="Garamond,Bold-Identity-H" w:hAnsiTheme="majorBidi" w:cstheme="majorBidi"/>
          <w:b/>
          <w:bCs/>
          <w:i/>
          <w:iCs/>
          <w:sz w:val="28"/>
          <w:szCs w:val="28"/>
        </w:rPr>
        <w:t xml:space="preserve">II- </w:t>
      </w:r>
      <w:r w:rsidRPr="00556F6C">
        <w:rPr>
          <w:rFonts w:asciiTheme="majorBidi" w:eastAsia="Garamond,Bold-Identity-H" w:hAnsiTheme="majorBidi" w:cstheme="majorBidi"/>
          <w:b/>
          <w:bCs/>
          <w:i/>
          <w:iCs/>
          <w:sz w:val="28"/>
          <w:szCs w:val="28"/>
        </w:rPr>
        <w:t>Comportement mécanique de l’acier</w:t>
      </w:r>
      <w:bookmarkStart w:id="0" w:name="_GoBack"/>
      <w:bookmarkEnd w:id="0"/>
    </w:p>
    <w:p w:rsidR="00752AAB" w:rsidRDefault="00752AAB" w:rsidP="00752AAB">
      <w:pPr>
        <w:tabs>
          <w:tab w:val="left" w:pos="1227"/>
        </w:tabs>
        <w:rPr>
          <w:rFonts w:asciiTheme="majorBidi" w:eastAsia="Garamond,Bold-Identity-H" w:hAnsiTheme="majorBidi" w:cstheme="majorBidi"/>
          <w:b/>
          <w:bCs/>
          <w:i/>
          <w:iCs/>
          <w:sz w:val="28"/>
          <w:szCs w:val="28"/>
        </w:rPr>
      </w:pPr>
      <w:r>
        <w:rPr>
          <w:rFonts w:asciiTheme="majorBidi" w:eastAsia="Garamond,Bold-Identity-H" w:hAnsiTheme="majorBidi" w:cstheme="majorBidi"/>
          <w:b/>
          <w:bCs/>
          <w:i/>
          <w:iCs/>
          <w:sz w:val="28"/>
          <w:szCs w:val="28"/>
        </w:rPr>
        <w:t xml:space="preserve">II-1 Essais mécanique sur l’acier </w:t>
      </w:r>
    </w:p>
    <w:p w:rsidR="00752AAB" w:rsidRPr="00752AAB" w:rsidRDefault="00752AAB" w:rsidP="00752AAB">
      <w:pPr>
        <w:tabs>
          <w:tab w:val="left" w:pos="1227"/>
        </w:tabs>
        <w:rPr>
          <w:rFonts w:asciiTheme="majorBidi" w:hAnsiTheme="majorBidi" w:cstheme="majorBidi"/>
          <w:i/>
          <w:iCs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II-1-1  </w:t>
      </w:r>
      <w:r w:rsidRPr="00752AAB">
        <w:rPr>
          <w:rFonts w:asciiTheme="majorBidi" w:hAnsiTheme="majorBidi" w:cstheme="majorBidi"/>
          <w:b/>
          <w:bCs/>
          <w:i/>
          <w:iCs/>
          <w:sz w:val="28"/>
          <w:szCs w:val="28"/>
        </w:rPr>
        <w:t>Essai de traction</w:t>
      </w:r>
      <w:r w:rsidRPr="00752AAB">
        <w:rPr>
          <w:rFonts w:asciiTheme="majorBidi" w:hAnsiTheme="majorBidi" w:cstheme="majorBidi"/>
          <w:i/>
          <w:iCs/>
          <w:sz w:val="28"/>
          <w:szCs w:val="28"/>
        </w:rPr>
        <w:t xml:space="preserve"> :</w:t>
      </w:r>
    </w:p>
    <w:p w:rsidR="00752AAB" w:rsidRPr="00C359FD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C359FD">
        <w:rPr>
          <w:rFonts w:asciiTheme="majorBidi" w:hAnsiTheme="majorBidi" w:cstheme="majorBidi"/>
          <w:sz w:val="24"/>
          <w:szCs w:val="24"/>
        </w:rPr>
        <w:t>Il s’agit de l’essai fondamental qui fournit les grandeurs caractéristiques directement exploitables dans les calculs de dimensionnement.</w:t>
      </w:r>
    </w:p>
    <w:p w:rsidR="00752AAB" w:rsidRPr="00C359FD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eastAsia="SymbolMT" w:hAnsiTheme="majorBidi" w:cstheme="majorBidi"/>
          <w:sz w:val="24"/>
          <w:szCs w:val="24"/>
        </w:rPr>
      </w:pPr>
      <w:r w:rsidRPr="00C359FD">
        <w:rPr>
          <w:rFonts w:asciiTheme="majorBidi" w:eastAsia="SymbolMT" w:hAnsiTheme="majorBidi" w:cstheme="majorBidi"/>
          <w:sz w:val="24"/>
          <w:szCs w:val="24"/>
        </w:rPr>
        <w:t>• La limite d’élasticité fy à partir de laquelle</w:t>
      </w:r>
      <w:r>
        <w:rPr>
          <w:rFonts w:asciiTheme="majorBidi" w:eastAsia="SymbolMT" w:hAnsiTheme="majorBidi" w:cstheme="majorBidi"/>
          <w:sz w:val="24"/>
          <w:szCs w:val="24"/>
        </w:rPr>
        <w:t xml:space="preserve"> les allongements A% deviennent </w:t>
      </w:r>
      <w:r w:rsidRPr="00C359FD">
        <w:rPr>
          <w:rFonts w:asciiTheme="majorBidi" w:eastAsia="SymbolMT" w:hAnsiTheme="majorBidi" w:cstheme="majorBidi"/>
          <w:sz w:val="24"/>
          <w:szCs w:val="24"/>
        </w:rPr>
        <w:t>permanents (déformation irréversible).</w:t>
      </w:r>
    </w:p>
    <w:p w:rsidR="00752AAB" w:rsidRPr="00C359FD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eastAsia="SymbolMT" w:hAnsiTheme="majorBidi" w:cstheme="majorBidi"/>
          <w:sz w:val="24"/>
          <w:szCs w:val="24"/>
        </w:rPr>
      </w:pPr>
      <w:r w:rsidRPr="00C359FD">
        <w:rPr>
          <w:rFonts w:asciiTheme="majorBidi" w:eastAsia="SymbolMT" w:hAnsiTheme="majorBidi" w:cstheme="majorBidi"/>
          <w:sz w:val="24"/>
          <w:szCs w:val="24"/>
        </w:rPr>
        <w:t xml:space="preserve">• La contrainte de rupture à la traction </w:t>
      </w:r>
      <w:proofErr w:type="spellStart"/>
      <w:proofErr w:type="gramStart"/>
      <w:r w:rsidRPr="00C359FD">
        <w:rPr>
          <w:rFonts w:asciiTheme="majorBidi" w:eastAsia="SymbolMT" w:hAnsiTheme="majorBidi" w:cstheme="majorBidi"/>
          <w:sz w:val="24"/>
          <w:szCs w:val="24"/>
        </w:rPr>
        <w:t>fu</w:t>
      </w:r>
      <w:proofErr w:type="spellEnd"/>
      <w:r w:rsidRPr="00C359FD">
        <w:rPr>
          <w:rFonts w:asciiTheme="majorBidi" w:eastAsia="SymbolMT" w:hAnsiTheme="majorBidi" w:cstheme="majorBidi"/>
          <w:sz w:val="24"/>
          <w:szCs w:val="24"/>
        </w:rPr>
        <w:t xml:space="preserve"> .</w:t>
      </w:r>
      <w:proofErr w:type="gramEnd"/>
    </w:p>
    <w:p w:rsidR="00752AAB" w:rsidRPr="00C359FD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eastAsia="SymbolMT" w:hAnsiTheme="majorBidi" w:cstheme="majorBidi"/>
          <w:sz w:val="24"/>
          <w:szCs w:val="24"/>
        </w:rPr>
      </w:pPr>
      <w:r w:rsidRPr="00C359FD">
        <w:rPr>
          <w:rFonts w:asciiTheme="majorBidi" w:eastAsia="SymbolMT" w:hAnsiTheme="majorBidi" w:cstheme="majorBidi"/>
          <w:sz w:val="24"/>
          <w:szCs w:val="24"/>
        </w:rPr>
        <w:t xml:space="preserve">• Le module d’élasticité longitudinale de l’acier E = 210 000 </w:t>
      </w:r>
      <w:proofErr w:type="spellStart"/>
      <w:r w:rsidRPr="00C359FD">
        <w:rPr>
          <w:rFonts w:asciiTheme="majorBidi" w:eastAsia="SymbolMT" w:hAnsiTheme="majorBidi" w:cstheme="majorBidi"/>
          <w:sz w:val="24"/>
          <w:szCs w:val="24"/>
        </w:rPr>
        <w:t>MPa</w:t>
      </w:r>
      <w:proofErr w:type="spellEnd"/>
    </w:p>
    <w:p w:rsidR="00752AAB" w:rsidRPr="00C359FD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eastAsia="SymbolMT" w:hAnsiTheme="majorBidi" w:cstheme="majorBidi"/>
          <w:sz w:val="24"/>
          <w:szCs w:val="24"/>
        </w:rPr>
      </w:pPr>
      <w:r w:rsidRPr="00C359FD">
        <w:rPr>
          <w:rFonts w:asciiTheme="majorBidi" w:eastAsia="SymbolMT" w:hAnsiTheme="majorBidi" w:cstheme="majorBidi"/>
          <w:sz w:val="24"/>
          <w:szCs w:val="24"/>
        </w:rPr>
        <w:t xml:space="preserve">• Le module d’élasticité transversale de l’acier G ≈ 81 000 </w:t>
      </w:r>
      <w:proofErr w:type="spellStart"/>
      <w:r w:rsidRPr="00C359FD">
        <w:rPr>
          <w:rFonts w:asciiTheme="majorBidi" w:eastAsia="SymbolMT" w:hAnsiTheme="majorBidi" w:cstheme="majorBidi"/>
          <w:sz w:val="24"/>
          <w:szCs w:val="24"/>
        </w:rPr>
        <w:t>MPa</w:t>
      </w:r>
      <w:proofErr w:type="spellEnd"/>
    </w:p>
    <w:p w:rsidR="00752AAB" w:rsidRPr="00C359FD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eastAsia="SymbolMT" w:hAnsiTheme="majorBidi" w:cstheme="majorBidi"/>
          <w:sz w:val="24"/>
          <w:szCs w:val="24"/>
        </w:rPr>
      </w:pPr>
      <w:r w:rsidRPr="00C359FD">
        <w:rPr>
          <w:rFonts w:asciiTheme="majorBidi" w:eastAsia="SymbolMT" w:hAnsiTheme="majorBidi" w:cstheme="majorBidi"/>
          <w:sz w:val="24"/>
          <w:szCs w:val="24"/>
        </w:rPr>
        <w:t>• Le coefficient de poisson ν =0.3</w:t>
      </w:r>
    </w:p>
    <w:p w:rsidR="00752AAB" w:rsidRPr="00C359FD" w:rsidRDefault="00752AAB" w:rsidP="00752AAB">
      <w:pPr>
        <w:tabs>
          <w:tab w:val="left" w:pos="1227"/>
        </w:tabs>
        <w:spacing w:line="276" w:lineRule="auto"/>
        <w:rPr>
          <w:rFonts w:asciiTheme="majorBidi" w:eastAsia="Garamond,Bold-Identity-H" w:hAnsiTheme="majorBidi" w:cstheme="majorBidi"/>
          <w:sz w:val="24"/>
          <w:szCs w:val="24"/>
        </w:rPr>
      </w:pPr>
      <w:r w:rsidRPr="00C359FD">
        <w:rPr>
          <w:rFonts w:asciiTheme="majorBidi" w:eastAsia="SymbolMT" w:hAnsiTheme="majorBidi" w:cstheme="majorBidi"/>
          <w:sz w:val="24"/>
          <w:szCs w:val="24"/>
        </w:rPr>
        <w:t xml:space="preserve">• Le coefficient de dilatation α = 12 10-6 </w:t>
      </w:r>
      <w:proofErr w:type="gramStart"/>
      <w:r w:rsidRPr="00C359FD">
        <w:rPr>
          <w:rFonts w:asciiTheme="majorBidi" w:eastAsia="SymbolMT" w:hAnsiTheme="majorBidi" w:cstheme="majorBidi"/>
          <w:sz w:val="24"/>
          <w:szCs w:val="24"/>
        </w:rPr>
        <w:t>[ /</w:t>
      </w:r>
      <w:proofErr w:type="gramEnd"/>
      <w:r w:rsidRPr="00C359FD">
        <w:rPr>
          <w:rFonts w:asciiTheme="majorBidi" w:eastAsia="SymbolMT" w:hAnsiTheme="majorBidi" w:cstheme="majorBidi"/>
          <w:sz w:val="24"/>
          <w:szCs w:val="24"/>
        </w:rPr>
        <w:t>°C]</w:t>
      </w:r>
    </w:p>
    <w:p w:rsidR="00752AAB" w:rsidRDefault="00752AAB" w:rsidP="00752AAB">
      <w:pPr>
        <w:tabs>
          <w:tab w:val="left" w:pos="1227"/>
        </w:tabs>
        <w:rPr>
          <w:rFonts w:asciiTheme="majorBidi" w:hAnsiTheme="majorBidi" w:cstheme="majorBidi"/>
          <w:i/>
          <w:iCs/>
          <w:sz w:val="28"/>
          <w:szCs w:val="28"/>
        </w:rPr>
      </w:pPr>
      <w:r w:rsidRPr="00556F6C"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anchor distT="0" distB="0" distL="114300" distR="114300" simplePos="0" relativeHeight="251659264" behindDoc="0" locked="0" layoutInCell="1" allowOverlap="1" wp14:anchorId="3916C19F" wp14:editId="390ECD00">
            <wp:simplePos x="0" y="0"/>
            <wp:positionH relativeFrom="column">
              <wp:posOffset>4419158</wp:posOffset>
            </wp:positionH>
            <wp:positionV relativeFrom="paragraph">
              <wp:posOffset>5025</wp:posOffset>
            </wp:positionV>
            <wp:extent cx="1619250" cy="2408555"/>
            <wp:effectExtent l="0" t="0" r="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6F6C">
        <w:rPr>
          <w:rFonts w:asciiTheme="majorBidi" w:hAnsiTheme="majorBidi" w:cstheme="majorBidi"/>
          <w:i/>
          <w:iCs/>
          <w:noProof/>
          <w:sz w:val="28"/>
          <w:szCs w:val="28"/>
          <w:lang w:eastAsia="fr-FR"/>
        </w:rPr>
        <w:drawing>
          <wp:inline distT="0" distB="0" distL="0" distR="0" wp14:anchorId="07DB437C" wp14:editId="01B88E4B">
            <wp:extent cx="4023360" cy="860159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70" cy="86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AAB" w:rsidRDefault="00752AAB" w:rsidP="00752AAB">
      <w:pPr>
        <w:rPr>
          <w:rFonts w:asciiTheme="majorBidi" w:hAnsiTheme="majorBidi" w:cstheme="majorBidi"/>
          <w:sz w:val="28"/>
          <w:szCs w:val="28"/>
        </w:rPr>
      </w:pPr>
    </w:p>
    <w:p w:rsidR="00752AAB" w:rsidRDefault="00752AAB" w:rsidP="00752AAB">
      <w:pPr>
        <w:tabs>
          <w:tab w:val="left" w:pos="902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</w:p>
    <w:p w:rsidR="00752AAB" w:rsidRPr="00556F6C" w:rsidRDefault="00752AAB" w:rsidP="00752AAB">
      <w:pPr>
        <w:rPr>
          <w:rFonts w:asciiTheme="majorBidi" w:hAnsiTheme="majorBidi" w:cstheme="majorBidi"/>
          <w:sz w:val="28"/>
          <w:szCs w:val="28"/>
        </w:rPr>
      </w:pPr>
    </w:p>
    <w:p w:rsidR="00752AAB" w:rsidRDefault="00752AAB" w:rsidP="00752AAB">
      <w:pPr>
        <w:rPr>
          <w:rFonts w:asciiTheme="majorBidi" w:hAnsiTheme="majorBidi" w:cstheme="majorBidi"/>
          <w:sz w:val="28"/>
          <w:szCs w:val="28"/>
        </w:rPr>
      </w:pPr>
      <w:r w:rsidRPr="00556F6C"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anchor distT="0" distB="0" distL="114300" distR="114300" simplePos="0" relativeHeight="251660288" behindDoc="0" locked="0" layoutInCell="1" allowOverlap="1" wp14:anchorId="20378719" wp14:editId="0D46983D">
            <wp:simplePos x="0" y="0"/>
            <wp:positionH relativeFrom="margin">
              <wp:align>left</wp:align>
            </wp:positionH>
            <wp:positionV relativeFrom="paragraph">
              <wp:posOffset>296186</wp:posOffset>
            </wp:positionV>
            <wp:extent cx="4944295" cy="2940161"/>
            <wp:effectExtent l="0" t="0" r="8890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295" cy="294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AAB" w:rsidRDefault="00752AAB" w:rsidP="00752AAB">
      <w:pPr>
        <w:ind w:firstLine="708"/>
        <w:rPr>
          <w:rFonts w:asciiTheme="majorBidi" w:hAnsiTheme="majorBidi" w:cstheme="majorBidi"/>
          <w:sz w:val="28"/>
          <w:szCs w:val="28"/>
        </w:rPr>
      </w:pPr>
      <w:r w:rsidRPr="00556F6C"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anchor distT="0" distB="0" distL="114300" distR="114300" simplePos="0" relativeHeight="251661312" behindDoc="0" locked="0" layoutInCell="1" allowOverlap="1" wp14:anchorId="684B1195" wp14:editId="22EE6E87">
            <wp:simplePos x="0" y="0"/>
            <wp:positionH relativeFrom="column">
              <wp:posOffset>4888313</wp:posOffset>
            </wp:positionH>
            <wp:positionV relativeFrom="paragraph">
              <wp:posOffset>2176449</wp:posOffset>
            </wp:positionV>
            <wp:extent cx="1188318" cy="294419"/>
            <wp:effectExtent l="0" t="0" r="0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318" cy="29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AAB" w:rsidRPr="00556F6C" w:rsidRDefault="00752AAB" w:rsidP="00752AAB">
      <w:pPr>
        <w:rPr>
          <w:rFonts w:asciiTheme="majorBidi" w:hAnsiTheme="majorBidi" w:cstheme="majorBidi"/>
          <w:sz w:val="28"/>
          <w:szCs w:val="28"/>
        </w:rPr>
      </w:pPr>
    </w:p>
    <w:p w:rsidR="00752AAB" w:rsidRPr="00556F6C" w:rsidRDefault="00752AAB" w:rsidP="00752AAB">
      <w:pPr>
        <w:rPr>
          <w:rFonts w:asciiTheme="majorBidi" w:hAnsiTheme="majorBidi" w:cstheme="majorBidi"/>
          <w:sz w:val="28"/>
          <w:szCs w:val="28"/>
        </w:rPr>
      </w:pPr>
    </w:p>
    <w:p w:rsidR="00752AAB" w:rsidRPr="00556F6C" w:rsidRDefault="00752AAB" w:rsidP="00752AAB">
      <w:pPr>
        <w:rPr>
          <w:rFonts w:asciiTheme="majorBidi" w:hAnsiTheme="majorBidi" w:cstheme="majorBidi"/>
          <w:sz w:val="28"/>
          <w:szCs w:val="28"/>
        </w:rPr>
      </w:pPr>
    </w:p>
    <w:p w:rsidR="00752AAB" w:rsidRPr="00556F6C" w:rsidRDefault="00752AAB" w:rsidP="00752AAB">
      <w:pPr>
        <w:rPr>
          <w:rFonts w:asciiTheme="majorBidi" w:hAnsiTheme="majorBidi" w:cstheme="majorBidi"/>
          <w:sz w:val="28"/>
          <w:szCs w:val="28"/>
        </w:rPr>
      </w:pPr>
    </w:p>
    <w:p w:rsidR="00752AAB" w:rsidRPr="00556F6C" w:rsidRDefault="00752AAB" w:rsidP="00752AAB">
      <w:pPr>
        <w:rPr>
          <w:rFonts w:asciiTheme="majorBidi" w:hAnsiTheme="majorBidi" w:cstheme="majorBidi"/>
          <w:sz w:val="28"/>
          <w:szCs w:val="28"/>
        </w:rPr>
      </w:pPr>
    </w:p>
    <w:p w:rsidR="00752AAB" w:rsidRPr="00556F6C" w:rsidRDefault="00752AAB" w:rsidP="00752AAB">
      <w:pPr>
        <w:rPr>
          <w:rFonts w:asciiTheme="majorBidi" w:hAnsiTheme="majorBidi" w:cstheme="majorBidi"/>
          <w:sz w:val="28"/>
          <w:szCs w:val="28"/>
        </w:rPr>
      </w:pPr>
    </w:p>
    <w:p w:rsidR="00752AAB" w:rsidRPr="00556F6C" w:rsidRDefault="00752AAB" w:rsidP="00752AAB">
      <w:pPr>
        <w:rPr>
          <w:rFonts w:asciiTheme="majorBidi" w:hAnsiTheme="majorBidi" w:cstheme="majorBidi"/>
          <w:sz w:val="28"/>
          <w:szCs w:val="28"/>
        </w:rPr>
      </w:pPr>
    </w:p>
    <w:p w:rsidR="00752AAB" w:rsidRDefault="00752AAB" w:rsidP="00752AAB">
      <w:pPr>
        <w:tabs>
          <w:tab w:val="left" w:pos="1916"/>
        </w:tabs>
        <w:rPr>
          <w:rFonts w:asciiTheme="majorBidi" w:hAnsiTheme="majorBidi" w:cstheme="majorBidi"/>
          <w:sz w:val="24"/>
          <w:szCs w:val="24"/>
        </w:rPr>
      </w:pPr>
      <w:r w:rsidRPr="00556F6C">
        <w:rPr>
          <w:rFonts w:asciiTheme="majorBidi" w:hAnsiTheme="majorBidi" w:cstheme="majorBidi"/>
          <w:sz w:val="24"/>
          <w:szCs w:val="24"/>
        </w:rPr>
        <w:t>Ce diagramme contrainte-déformation se décompose en 4 phases :</w:t>
      </w:r>
    </w:p>
    <w:p w:rsidR="00752AAB" w:rsidRPr="00333922" w:rsidRDefault="00752AAB" w:rsidP="00752AA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333922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0" locked="0" layoutInCell="1" allowOverlap="1" wp14:anchorId="3012EC03" wp14:editId="60F5070E">
            <wp:simplePos x="0" y="0"/>
            <wp:positionH relativeFrom="column">
              <wp:posOffset>3743574</wp:posOffset>
            </wp:positionH>
            <wp:positionV relativeFrom="paragraph">
              <wp:posOffset>10160</wp:posOffset>
            </wp:positionV>
            <wp:extent cx="659765" cy="191135"/>
            <wp:effectExtent l="0" t="0" r="6985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3922">
        <w:rPr>
          <w:rFonts w:asciiTheme="majorBidi" w:hAnsiTheme="majorBidi" w:cstheme="majorBidi"/>
          <w:sz w:val="24"/>
          <w:szCs w:val="24"/>
        </w:rPr>
        <w:t>Phase 1 - domaine élastique : obéissant à la loi de Hooke</w:t>
      </w:r>
      <w:r>
        <w:rPr>
          <w:rFonts w:asciiTheme="majorBidi" w:hAnsiTheme="majorBidi" w:cstheme="majorBidi"/>
          <w:sz w:val="24"/>
          <w:szCs w:val="24"/>
        </w:rPr>
        <w:t> :</w:t>
      </w:r>
    </w:p>
    <w:p w:rsidR="00752AAB" w:rsidRDefault="00752AAB" w:rsidP="00752AA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752AAB" w:rsidRDefault="00752AAB" w:rsidP="00752AA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333922">
        <w:rPr>
          <w:rFonts w:asciiTheme="majorBidi" w:hAnsiTheme="majorBidi" w:cstheme="majorBidi"/>
          <w:sz w:val="24"/>
          <w:szCs w:val="24"/>
        </w:rPr>
        <w:t xml:space="preserve">Phase 2 - palier </w:t>
      </w:r>
      <w:r w:rsidRPr="00333922">
        <w:rPr>
          <w:rFonts w:asciiTheme="majorBidi" w:eastAsia="Garamond,Bold-Identity-H" w:hAnsiTheme="majorBidi" w:cstheme="majorBidi"/>
          <w:sz w:val="24"/>
          <w:szCs w:val="24"/>
        </w:rPr>
        <w:t xml:space="preserve">d’écoulement </w:t>
      </w:r>
      <w:r w:rsidRPr="00333922">
        <w:rPr>
          <w:rFonts w:asciiTheme="majorBidi" w:hAnsiTheme="majorBidi" w:cstheme="majorBidi"/>
          <w:sz w:val="24"/>
          <w:szCs w:val="24"/>
        </w:rPr>
        <w:t xml:space="preserve">plastique : </w:t>
      </w:r>
      <w:r>
        <w:rPr>
          <w:rFonts w:asciiTheme="majorBidi" w:hAnsiTheme="majorBidi" w:cstheme="majorBidi"/>
          <w:sz w:val="24"/>
          <w:szCs w:val="24"/>
        </w:rPr>
        <w:t xml:space="preserve">traduisant un </w:t>
      </w:r>
      <w:r w:rsidRPr="00333922">
        <w:rPr>
          <w:rFonts w:asciiTheme="majorBidi" w:hAnsiTheme="majorBidi" w:cstheme="majorBidi"/>
          <w:sz w:val="24"/>
          <w:szCs w:val="24"/>
        </w:rPr>
        <w:t>allongement sous charge constante.</w:t>
      </w:r>
    </w:p>
    <w:p w:rsidR="00752AAB" w:rsidRDefault="00752AAB" w:rsidP="00752AA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752AAB" w:rsidRDefault="00752AAB" w:rsidP="00752AA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333922">
        <w:rPr>
          <w:rFonts w:asciiTheme="majorBidi" w:hAnsiTheme="majorBidi" w:cstheme="majorBidi"/>
          <w:sz w:val="24"/>
          <w:szCs w:val="24"/>
        </w:rPr>
        <w:t xml:space="preserve">Phase 3 </w:t>
      </w:r>
      <w:r w:rsidRPr="00333922">
        <w:rPr>
          <w:rFonts w:asciiTheme="majorBidi" w:eastAsia="Garamond,Bold-Identity-H" w:hAnsiTheme="majorBidi" w:cstheme="majorBidi"/>
          <w:sz w:val="24"/>
          <w:szCs w:val="24"/>
        </w:rPr>
        <w:t xml:space="preserve">– </w:t>
      </w:r>
      <w:r w:rsidRPr="00333922">
        <w:rPr>
          <w:rFonts w:asciiTheme="majorBidi" w:hAnsiTheme="majorBidi" w:cstheme="majorBidi"/>
          <w:sz w:val="24"/>
          <w:szCs w:val="24"/>
        </w:rPr>
        <w:t xml:space="preserve">domaine </w:t>
      </w:r>
      <w:r w:rsidRPr="00333922">
        <w:rPr>
          <w:rFonts w:asciiTheme="majorBidi" w:eastAsia="Garamond,Bold-Identity-H" w:hAnsiTheme="majorBidi" w:cstheme="majorBidi"/>
          <w:sz w:val="24"/>
          <w:szCs w:val="24"/>
        </w:rPr>
        <w:t xml:space="preserve">d’écrouissage </w:t>
      </w:r>
      <w:r w:rsidRPr="00333922">
        <w:rPr>
          <w:rFonts w:asciiTheme="majorBidi" w:hAnsiTheme="majorBidi" w:cstheme="majorBidi"/>
          <w:sz w:val="24"/>
          <w:szCs w:val="24"/>
        </w:rPr>
        <w:t xml:space="preserve">: </w:t>
      </w:r>
      <w:r>
        <w:rPr>
          <w:rFonts w:asciiTheme="majorBidi" w:hAnsiTheme="majorBidi" w:cstheme="majorBidi"/>
          <w:sz w:val="24"/>
          <w:szCs w:val="24"/>
        </w:rPr>
        <w:t xml:space="preserve">correspondant à une </w:t>
      </w:r>
      <w:r w:rsidRPr="00333922">
        <w:rPr>
          <w:rFonts w:asciiTheme="majorBidi" w:hAnsiTheme="majorBidi" w:cstheme="majorBidi"/>
          <w:sz w:val="24"/>
          <w:szCs w:val="24"/>
        </w:rPr>
        <w:t xml:space="preserve">nouvelle augmentation de la sollicitation avec </w:t>
      </w:r>
      <w:r w:rsidRPr="00333922">
        <w:rPr>
          <w:rFonts w:asciiTheme="majorBidi" w:eastAsia="Garamond-Identity-H" w:hAnsiTheme="majorBidi" w:cstheme="majorBidi"/>
          <w:sz w:val="24"/>
          <w:szCs w:val="24"/>
        </w:rPr>
        <w:t>l’allongement</w:t>
      </w:r>
      <w:r w:rsidRPr="00333922">
        <w:rPr>
          <w:rFonts w:asciiTheme="majorBidi" w:hAnsiTheme="majorBidi" w:cstheme="majorBidi"/>
          <w:sz w:val="24"/>
          <w:szCs w:val="24"/>
        </w:rPr>
        <w:t>.</w:t>
      </w:r>
    </w:p>
    <w:p w:rsidR="00752AAB" w:rsidRDefault="00752AAB" w:rsidP="00752AA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752AAB" w:rsidRDefault="00752AAB" w:rsidP="00752AA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333922">
        <w:rPr>
          <w:rFonts w:asciiTheme="majorBidi" w:hAnsiTheme="majorBidi" w:cstheme="majorBidi"/>
          <w:sz w:val="24"/>
          <w:szCs w:val="24"/>
        </w:rPr>
        <w:t xml:space="preserve">Phase 4 </w:t>
      </w:r>
      <w:r w:rsidRPr="00333922">
        <w:rPr>
          <w:rFonts w:asciiTheme="majorBidi" w:eastAsia="Garamond,Bold-Identity-H" w:hAnsiTheme="majorBidi" w:cstheme="majorBidi"/>
          <w:sz w:val="24"/>
          <w:szCs w:val="24"/>
        </w:rPr>
        <w:t xml:space="preserve">– </w:t>
      </w:r>
      <w:r w:rsidRPr="00333922">
        <w:rPr>
          <w:rFonts w:asciiTheme="majorBidi" w:hAnsiTheme="majorBidi" w:cstheme="majorBidi"/>
          <w:sz w:val="24"/>
          <w:szCs w:val="24"/>
        </w:rPr>
        <w:t xml:space="preserve">domaine de striction : </w:t>
      </w:r>
      <w:r>
        <w:rPr>
          <w:rFonts w:asciiTheme="majorBidi" w:hAnsiTheme="majorBidi" w:cstheme="majorBidi"/>
          <w:sz w:val="24"/>
          <w:szCs w:val="24"/>
        </w:rPr>
        <w:t xml:space="preserve">correspondant à une réduction </w:t>
      </w:r>
      <w:r w:rsidRPr="00333922">
        <w:rPr>
          <w:rFonts w:asciiTheme="majorBidi" w:hAnsiTheme="majorBidi" w:cstheme="majorBidi"/>
          <w:sz w:val="24"/>
          <w:szCs w:val="24"/>
        </w:rPr>
        <w:t xml:space="preserve">localisée de la section de </w:t>
      </w:r>
      <w:r w:rsidRPr="00333922">
        <w:rPr>
          <w:rFonts w:asciiTheme="majorBidi" w:eastAsia="Garamond-Identity-H" w:hAnsiTheme="majorBidi" w:cstheme="majorBidi"/>
          <w:sz w:val="24"/>
          <w:szCs w:val="24"/>
        </w:rPr>
        <w:t>l’éprouvette</w:t>
      </w:r>
      <w:r w:rsidRPr="00333922">
        <w:rPr>
          <w:rFonts w:asciiTheme="majorBidi" w:hAnsiTheme="majorBidi" w:cstheme="majorBidi"/>
          <w:sz w:val="24"/>
          <w:szCs w:val="24"/>
        </w:rPr>
        <w:t>.</w:t>
      </w:r>
    </w:p>
    <w:p w:rsidR="00752AAB" w:rsidRDefault="00752AAB" w:rsidP="00752AAB">
      <w:pPr>
        <w:rPr>
          <w:rFonts w:asciiTheme="majorBidi" w:hAnsiTheme="majorBidi" w:cstheme="majorBidi"/>
          <w:sz w:val="24"/>
          <w:szCs w:val="24"/>
        </w:rPr>
      </w:pPr>
    </w:p>
    <w:p w:rsidR="00752AAB" w:rsidRDefault="00752AAB" w:rsidP="00752AA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80064">
        <w:rPr>
          <w:rFonts w:asciiTheme="majorBidi" w:hAnsiTheme="majorBidi" w:cstheme="majorBidi"/>
          <w:sz w:val="24"/>
          <w:szCs w:val="24"/>
        </w:rPr>
        <w:t>En construction métallique, les pièce</w:t>
      </w:r>
      <w:r>
        <w:rPr>
          <w:rFonts w:asciiTheme="majorBidi" w:hAnsiTheme="majorBidi" w:cstheme="majorBidi"/>
          <w:sz w:val="24"/>
          <w:szCs w:val="24"/>
        </w:rPr>
        <w:t xml:space="preserve">s et les éléments des ossatures </w:t>
      </w:r>
      <w:r w:rsidRPr="00B80064">
        <w:rPr>
          <w:rFonts w:asciiTheme="majorBidi" w:hAnsiTheme="majorBidi" w:cstheme="majorBidi"/>
          <w:sz w:val="24"/>
          <w:szCs w:val="24"/>
        </w:rPr>
        <w:t>sont conçues et calculés pour res</w:t>
      </w:r>
      <w:r>
        <w:rPr>
          <w:rFonts w:asciiTheme="majorBidi" w:hAnsiTheme="majorBidi" w:cstheme="majorBidi"/>
          <w:sz w:val="24"/>
          <w:szCs w:val="24"/>
        </w:rPr>
        <w:t xml:space="preserve">ter la plupart du temps dans le domaine élastique.    </w:t>
      </w:r>
    </w:p>
    <w:p w:rsidR="00752AAB" w:rsidRDefault="00752AAB" w:rsidP="00752AAB">
      <w:pPr>
        <w:autoSpaceDE w:val="0"/>
        <w:autoSpaceDN w:val="0"/>
        <w:adjustRightInd w:val="0"/>
        <w:spacing w:after="0" w:line="240" w:lineRule="auto"/>
        <w:rPr>
          <w:rFonts w:asciiTheme="majorBidi" w:eastAsia="Wingdings-Identity-H" w:hAnsiTheme="majorBidi" w:cstheme="majorBidi"/>
          <w:sz w:val="24"/>
          <w:szCs w:val="24"/>
        </w:rPr>
      </w:pPr>
    </w:p>
    <w:p w:rsidR="00752AAB" w:rsidRPr="00B80064" w:rsidRDefault="00752AAB" w:rsidP="00752AA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80064">
        <w:rPr>
          <w:rFonts w:asciiTheme="majorBidi" w:hAnsiTheme="majorBidi" w:cstheme="majorBidi"/>
          <w:sz w:val="24"/>
          <w:szCs w:val="24"/>
        </w:rPr>
        <w:t xml:space="preserve">Le palier </w:t>
      </w:r>
      <w:r w:rsidRPr="00B80064">
        <w:rPr>
          <w:rFonts w:asciiTheme="majorBidi" w:eastAsia="Garamond-Identity-H" w:hAnsiTheme="majorBidi" w:cstheme="majorBidi"/>
          <w:sz w:val="24"/>
          <w:szCs w:val="24"/>
        </w:rPr>
        <w:t xml:space="preserve">d’écoulement </w:t>
      </w:r>
      <w:r w:rsidRPr="00B80064">
        <w:rPr>
          <w:rFonts w:asciiTheme="majorBidi" w:hAnsiTheme="majorBidi" w:cstheme="majorBidi"/>
          <w:sz w:val="24"/>
          <w:szCs w:val="24"/>
        </w:rPr>
        <w:t>plastique représente une réserve de sécurité.</w:t>
      </w:r>
    </w:p>
    <w:p w:rsidR="00752AAB" w:rsidRDefault="00752AAB" w:rsidP="00752AA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80064">
        <w:rPr>
          <w:rFonts w:asciiTheme="majorBidi" w:hAnsiTheme="majorBidi" w:cstheme="majorBidi"/>
          <w:sz w:val="24"/>
          <w:szCs w:val="24"/>
        </w:rPr>
        <w:t xml:space="preserve">Il traduit la ductilité de </w:t>
      </w:r>
      <w:r w:rsidRPr="00B80064">
        <w:rPr>
          <w:rFonts w:asciiTheme="majorBidi" w:eastAsia="Garamond-Identity-H" w:hAnsiTheme="majorBidi" w:cstheme="majorBidi"/>
          <w:sz w:val="24"/>
          <w:szCs w:val="24"/>
        </w:rPr>
        <w:t xml:space="preserve">l’acier </w:t>
      </w:r>
      <w:r w:rsidRPr="00B80064">
        <w:rPr>
          <w:rFonts w:asciiTheme="majorBidi" w:hAnsiTheme="majorBidi" w:cstheme="majorBidi"/>
          <w:sz w:val="24"/>
          <w:szCs w:val="24"/>
        </w:rPr>
        <w:t>(</w:t>
      </w:r>
      <w:r>
        <w:rPr>
          <w:rFonts w:asciiTheme="majorBidi" w:hAnsiTheme="majorBidi" w:cstheme="majorBidi"/>
          <w:sz w:val="24"/>
          <w:szCs w:val="24"/>
        </w:rPr>
        <w:t>elle permet une bonne tenue aux séismes).</w:t>
      </w:r>
    </w:p>
    <w:p w:rsidR="00752AAB" w:rsidRDefault="00752AAB" w:rsidP="00752AA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752AAB" w:rsidRDefault="00752AAB" w:rsidP="00752AA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80064">
        <w:rPr>
          <w:rFonts w:asciiTheme="majorBidi" w:eastAsia="Garamond-Identity-H" w:hAnsiTheme="majorBidi" w:cstheme="majorBidi"/>
          <w:sz w:val="24"/>
          <w:szCs w:val="24"/>
        </w:rPr>
        <w:t xml:space="preserve">L’acier </w:t>
      </w:r>
      <w:r w:rsidRPr="00B80064">
        <w:rPr>
          <w:rFonts w:asciiTheme="majorBidi" w:hAnsiTheme="majorBidi" w:cstheme="majorBidi"/>
          <w:sz w:val="24"/>
          <w:szCs w:val="24"/>
        </w:rPr>
        <w:t xml:space="preserve">a un comportement </w:t>
      </w:r>
      <w:proofErr w:type="spellStart"/>
      <w:r w:rsidRPr="00B80064">
        <w:rPr>
          <w:rFonts w:asciiTheme="majorBidi" w:hAnsiTheme="majorBidi" w:cstheme="majorBidi"/>
          <w:sz w:val="24"/>
          <w:szCs w:val="24"/>
        </w:rPr>
        <w:t>élastoplastique</w:t>
      </w:r>
      <w:proofErr w:type="spellEnd"/>
      <w:r w:rsidRPr="00B80064">
        <w:rPr>
          <w:rFonts w:asciiTheme="majorBidi" w:hAnsiTheme="majorBidi" w:cstheme="majorBidi"/>
          <w:sz w:val="24"/>
          <w:szCs w:val="24"/>
        </w:rPr>
        <w:t>.</w:t>
      </w:r>
    </w:p>
    <w:p w:rsidR="00752AAB" w:rsidRDefault="00752AAB" w:rsidP="00752AAB">
      <w:pPr>
        <w:rPr>
          <w:rFonts w:asciiTheme="majorBidi" w:hAnsiTheme="majorBidi" w:cstheme="majorBidi"/>
          <w:sz w:val="24"/>
          <w:szCs w:val="24"/>
        </w:rPr>
      </w:pPr>
    </w:p>
    <w:p w:rsidR="00752AAB" w:rsidRPr="00752AAB" w:rsidRDefault="00752AAB" w:rsidP="00752AAB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II-1-2 </w:t>
      </w:r>
      <w:r w:rsidRPr="00752AAB">
        <w:rPr>
          <w:rFonts w:asciiTheme="majorBidi" w:hAnsiTheme="majorBidi" w:cstheme="majorBidi"/>
          <w:b/>
          <w:bCs/>
          <w:i/>
          <w:iCs/>
          <w:sz w:val="28"/>
          <w:szCs w:val="28"/>
        </w:rPr>
        <w:t>Essai de flexion par choc (essai de résilience) :</w:t>
      </w:r>
    </w:p>
    <w:p w:rsidR="00752AAB" w:rsidRDefault="00752AAB" w:rsidP="00752AAB">
      <w:pPr>
        <w:autoSpaceDE w:val="0"/>
        <w:autoSpaceDN w:val="0"/>
        <w:adjustRightInd w:val="0"/>
        <w:spacing w:after="0" w:line="276" w:lineRule="auto"/>
        <w:rPr>
          <w:rFonts w:ascii="TimesNewRoman" w:hAnsi="TimesNewRoman" w:cs="TimesNewRoman"/>
          <w:color w:val="000000"/>
          <w:sz w:val="24"/>
          <w:szCs w:val="24"/>
        </w:rPr>
      </w:pPr>
      <w:r w:rsidRPr="00C359FD">
        <w:rPr>
          <w:rFonts w:ascii="TimesNewRoman" w:hAnsi="TimesNewRoman" w:cs="TimesNewRoman"/>
          <w:color w:val="000000"/>
          <w:sz w:val="24"/>
          <w:szCs w:val="24"/>
        </w:rPr>
        <w:t>Cet essai a pour objectif de mesurer l’énergie absorbée par une éprouvette bi-appuyée, comportant une entaille médiane en V, lors de sa rupture en flexion sous le choc d’un mouton-pendule. Cette énergie caractérise la ductilité de l’acier et sa sensibilité à la rupture fragile en fonction de la température.</w:t>
      </w:r>
    </w:p>
    <w:p w:rsidR="00752AAB" w:rsidRPr="00C359FD" w:rsidRDefault="00752AAB" w:rsidP="00752AAB">
      <w:pPr>
        <w:autoSpaceDE w:val="0"/>
        <w:autoSpaceDN w:val="0"/>
        <w:adjustRightInd w:val="0"/>
        <w:spacing w:after="0" w:line="276" w:lineRule="auto"/>
        <w:jc w:val="center"/>
        <w:rPr>
          <w:rFonts w:ascii="TimesNewRoman" w:hAnsi="TimesNewRoman" w:cs="TimesNewRoman"/>
          <w:color w:val="000000"/>
          <w:sz w:val="24"/>
          <w:szCs w:val="24"/>
        </w:rPr>
      </w:pPr>
      <w:r w:rsidRPr="00C359FD">
        <w:rPr>
          <w:rFonts w:ascii="TimesNewRoman" w:hAnsi="TimesNewRoman" w:cs="TimesNewRoman"/>
          <w:sz w:val="24"/>
          <w:szCs w:val="24"/>
        </w:rPr>
        <w:t>Energie de rupture = m g (h0 – h)</w:t>
      </w:r>
    </w:p>
    <w:p w:rsidR="00752AAB" w:rsidRDefault="00752AAB" w:rsidP="00752AAB">
      <w:pPr>
        <w:autoSpaceDE w:val="0"/>
        <w:autoSpaceDN w:val="0"/>
        <w:adjustRightInd w:val="0"/>
        <w:spacing w:after="0" w:line="276" w:lineRule="auto"/>
        <w:rPr>
          <w:rFonts w:ascii="TimesNewRoman" w:hAnsi="TimesNewRoman" w:cs="TimesNewRoman"/>
          <w:color w:val="000000"/>
          <w:sz w:val="24"/>
          <w:szCs w:val="24"/>
        </w:rPr>
      </w:pPr>
      <w:r w:rsidRPr="00C359FD">
        <w:rPr>
          <w:rFonts w:ascii="TimesNewRoman" w:hAnsi="TimesNewRoman" w:cs="TimesNewRoman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63360" behindDoc="0" locked="0" layoutInCell="1" allowOverlap="1" wp14:anchorId="331C875E" wp14:editId="6881EE79">
            <wp:simplePos x="0" y="0"/>
            <wp:positionH relativeFrom="column">
              <wp:posOffset>1707929</wp:posOffset>
            </wp:positionH>
            <wp:positionV relativeFrom="paragraph">
              <wp:posOffset>7592</wp:posOffset>
            </wp:positionV>
            <wp:extent cx="2337435" cy="2090420"/>
            <wp:effectExtent l="0" t="0" r="5715" b="508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AAB" w:rsidRDefault="00752AAB" w:rsidP="00752AAB">
      <w:pPr>
        <w:autoSpaceDE w:val="0"/>
        <w:autoSpaceDN w:val="0"/>
        <w:adjustRightInd w:val="0"/>
        <w:spacing w:after="0" w:line="276" w:lineRule="auto"/>
        <w:jc w:val="center"/>
        <w:rPr>
          <w:rFonts w:ascii="TimesNewRoman,BoldItalic" w:hAnsi="TimesNewRoman,BoldItalic" w:cs="TimesNewRoman,BoldItalic"/>
          <w:b/>
          <w:bCs/>
          <w:i/>
          <w:iCs/>
        </w:rPr>
      </w:pPr>
    </w:p>
    <w:p w:rsidR="00752AAB" w:rsidRDefault="00752AAB" w:rsidP="00752AAB">
      <w:pPr>
        <w:autoSpaceDE w:val="0"/>
        <w:autoSpaceDN w:val="0"/>
        <w:adjustRightInd w:val="0"/>
        <w:spacing w:after="0" w:line="276" w:lineRule="auto"/>
        <w:jc w:val="center"/>
        <w:rPr>
          <w:rFonts w:ascii="TimesNewRoman,BoldItalic" w:hAnsi="TimesNewRoman,BoldItalic" w:cs="TimesNewRoman,BoldItalic"/>
          <w:b/>
          <w:bCs/>
          <w:i/>
          <w:iCs/>
        </w:rPr>
      </w:pPr>
    </w:p>
    <w:p w:rsidR="00752AAB" w:rsidRDefault="00752AAB" w:rsidP="00752AAB">
      <w:pPr>
        <w:autoSpaceDE w:val="0"/>
        <w:autoSpaceDN w:val="0"/>
        <w:adjustRightInd w:val="0"/>
        <w:spacing w:after="0" w:line="276" w:lineRule="auto"/>
        <w:jc w:val="center"/>
        <w:rPr>
          <w:rFonts w:ascii="TimesNewRoman,BoldItalic" w:hAnsi="TimesNewRoman,BoldItalic" w:cs="TimesNewRoman,BoldItalic"/>
          <w:b/>
          <w:bCs/>
          <w:i/>
          <w:iCs/>
        </w:rPr>
      </w:pPr>
    </w:p>
    <w:p w:rsidR="00752AAB" w:rsidRDefault="00752AAB" w:rsidP="00752AAB">
      <w:pPr>
        <w:autoSpaceDE w:val="0"/>
        <w:autoSpaceDN w:val="0"/>
        <w:adjustRightInd w:val="0"/>
        <w:spacing w:after="0" w:line="276" w:lineRule="auto"/>
        <w:jc w:val="center"/>
        <w:rPr>
          <w:rFonts w:ascii="TimesNewRoman,BoldItalic" w:hAnsi="TimesNewRoman,BoldItalic" w:cs="TimesNewRoman,BoldItalic"/>
          <w:b/>
          <w:bCs/>
          <w:i/>
          <w:iCs/>
        </w:rPr>
      </w:pPr>
    </w:p>
    <w:p w:rsidR="00752AAB" w:rsidRDefault="00752AAB" w:rsidP="00752AAB">
      <w:pPr>
        <w:autoSpaceDE w:val="0"/>
        <w:autoSpaceDN w:val="0"/>
        <w:adjustRightInd w:val="0"/>
        <w:spacing w:after="0" w:line="276" w:lineRule="auto"/>
        <w:jc w:val="center"/>
        <w:rPr>
          <w:rFonts w:ascii="TimesNewRoman,BoldItalic" w:hAnsi="TimesNewRoman,BoldItalic" w:cs="TimesNewRoman,BoldItalic"/>
          <w:b/>
          <w:bCs/>
          <w:i/>
          <w:iCs/>
        </w:rPr>
      </w:pPr>
    </w:p>
    <w:p w:rsidR="00752AAB" w:rsidRDefault="00752AAB" w:rsidP="00752AAB">
      <w:pPr>
        <w:autoSpaceDE w:val="0"/>
        <w:autoSpaceDN w:val="0"/>
        <w:adjustRightInd w:val="0"/>
        <w:spacing w:after="0" w:line="276" w:lineRule="auto"/>
        <w:jc w:val="center"/>
        <w:rPr>
          <w:rFonts w:ascii="TimesNewRoman,BoldItalic" w:hAnsi="TimesNewRoman,BoldItalic" w:cs="TimesNewRoman,BoldItalic"/>
          <w:b/>
          <w:bCs/>
          <w:i/>
          <w:iCs/>
        </w:rPr>
      </w:pPr>
    </w:p>
    <w:p w:rsidR="00752AAB" w:rsidRDefault="00752AAB" w:rsidP="00752AAB">
      <w:pPr>
        <w:autoSpaceDE w:val="0"/>
        <w:autoSpaceDN w:val="0"/>
        <w:adjustRightInd w:val="0"/>
        <w:spacing w:after="0" w:line="276" w:lineRule="auto"/>
        <w:jc w:val="center"/>
        <w:rPr>
          <w:rFonts w:ascii="TimesNewRoman,BoldItalic" w:hAnsi="TimesNewRoman,BoldItalic" w:cs="TimesNewRoman,BoldItalic"/>
          <w:b/>
          <w:bCs/>
          <w:i/>
          <w:iCs/>
        </w:rPr>
      </w:pPr>
    </w:p>
    <w:p w:rsidR="00752AAB" w:rsidRDefault="00752AAB" w:rsidP="00752AAB">
      <w:pPr>
        <w:autoSpaceDE w:val="0"/>
        <w:autoSpaceDN w:val="0"/>
        <w:adjustRightInd w:val="0"/>
        <w:spacing w:after="0" w:line="276" w:lineRule="auto"/>
        <w:jc w:val="center"/>
        <w:rPr>
          <w:rFonts w:ascii="TimesNewRoman,BoldItalic" w:hAnsi="TimesNewRoman,BoldItalic" w:cs="TimesNewRoman,BoldItalic"/>
          <w:b/>
          <w:bCs/>
          <w:i/>
          <w:iCs/>
        </w:rPr>
      </w:pPr>
    </w:p>
    <w:p w:rsidR="00752AAB" w:rsidRDefault="00752AAB" w:rsidP="00752AAB">
      <w:pPr>
        <w:autoSpaceDE w:val="0"/>
        <w:autoSpaceDN w:val="0"/>
        <w:adjustRightInd w:val="0"/>
        <w:spacing w:after="0" w:line="276" w:lineRule="auto"/>
        <w:jc w:val="center"/>
        <w:rPr>
          <w:rFonts w:ascii="TimesNewRoman,BoldItalic" w:hAnsi="TimesNewRoman,BoldItalic" w:cs="TimesNewRoman,BoldItalic"/>
          <w:b/>
          <w:bCs/>
          <w:i/>
          <w:iCs/>
        </w:rPr>
      </w:pPr>
    </w:p>
    <w:p w:rsidR="00752AAB" w:rsidRDefault="00752AAB" w:rsidP="00752AAB">
      <w:pPr>
        <w:autoSpaceDE w:val="0"/>
        <w:autoSpaceDN w:val="0"/>
        <w:adjustRightInd w:val="0"/>
        <w:spacing w:after="0" w:line="276" w:lineRule="auto"/>
        <w:jc w:val="center"/>
        <w:rPr>
          <w:rFonts w:ascii="TimesNewRoman,BoldItalic" w:hAnsi="TimesNewRoman,BoldItalic" w:cs="TimesNewRoman,BoldItalic"/>
          <w:b/>
          <w:bCs/>
          <w:i/>
          <w:iCs/>
        </w:rPr>
      </w:pPr>
    </w:p>
    <w:p w:rsidR="00752AAB" w:rsidRDefault="00752AAB" w:rsidP="00752AAB">
      <w:pPr>
        <w:autoSpaceDE w:val="0"/>
        <w:autoSpaceDN w:val="0"/>
        <w:adjustRightInd w:val="0"/>
        <w:spacing w:after="0" w:line="276" w:lineRule="auto"/>
        <w:jc w:val="center"/>
        <w:rPr>
          <w:rFonts w:ascii="TimesNewRoman,BoldItalic" w:hAnsi="TimesNewRoman,BoldItalic" w:cs="TimesNewRoman,BoldItalic"/>
          <w:b/>
          <w:bCs/>
          <w:i/>
          <w:iCs/>
        </w:rPr>
      </w:pPr>
    </w:p>
    <w:p w:rsidR="00752AAB" w:rsidRDefault="00752AAB" w:rsidP="00752AAB">
      <w:pPr>
        <w:autoSpaceDE w:val="0"/>
        <w:autoSpaceDN w:val="0"/>
        <w:adjustRightInd w:val="0"/>
        <w:spacing w:after="0" w:line="276" w:lineRule="auto"/>
        <w:jc w:val="center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TimesNewRoman,BoldItalic" w:hAnsi="TimesNewRoman,BoldItalic" w:cs="TimesNewRoman,BoldItalic"/>
          <w:b/>
          <w:bCs/>
          <w:i/>
          <w:iCs/>
        </w:rPr>
        <w:t>Principe de l’essai de flexion par choc</w:t>
      </w:r>
      <w:r w:rsidRPr="00C359FD">
        <w:rPr>
          <w:rFonts w:ascii="TimesNewRoman" w:hAnsi="TimesNewRoman" w:cs="TimesNewRoman"/>
          <w:noProof/>
          <w:color w:val="000000"/>
          <w:sz w:val="24"/>
          <w:szCs w:val="24"/>
          <w:lang w:eastAsia="fr-FR"/>
        </w:rPr>
        <w:t xml:space="preserve"> </w:t>
      </w:r>
    </w:p>
    <w:p w:rsidR="00752AAB" w:rsidRDefault="00752AAB" w:rsidP="00752AAB">
      <w:pPr>
        <w:rPr>
          <w:rFonts w:ascii="TimesNewRoman" w:hAnsi="TimesNewRoman" w:cs="TimesNewRoman"/>
          <w:sz w:val="24"/>
          <w:szCs w:val="24"/>
        </w:rPr>
      </w:pPr>
    </w:p>
    <w:p w:rsidR="00752AAB" w:rsidRPr="00752AAB" w:rsidRDefault="00752AAB" w:rsidP="00752AA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II-1-3 </w:t>
      </w:r>
      <w:r w:rsidRPr="00752AAB">
        <w:rPr>
          <w:rFonts w:asciiTheme="majorBidi" w:hAnsiTheme="majorBidi" w:cstheme="majorBidi"/>
          <w:b/>
          <w:bCs/>
          <w:i/>
          <w:iCs/>
          <w:sz w:val="28"/>
          <w:szCs w:val="28"/>
        </w:rPr>
        <w:t>Essais de dureté :</w:t>
      </w:r>
    </w:p>
    <w:p w:rsidR="00752AAB" w:rsidRDefault="00752AAB" w:rsidP="00752AA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4"/>
          <w:szCs w:val="24"/>
        </w:rPr>
      </w:pPr>
      <w:r w:rsidRPr="00CC626C">
        <w:rPr>
          <w:rFonts w:ascii="TimesNewRoman" w:hAnsi="TimesNewRoman" w:cs="TimesNewRoman"/>
          <w:color w:val="000000"/>
          <w:sz w:val="24"/>
          <w:szCs w:val="24"/>
        </w:rPr>
        <w:t>Les essais de dureté consistent à mesurer la pénétration d’</w:t>
      </w:r>
      <w:r>
        <w:rPr>
          <w:rFonts w:ascii="TimesNewRoman" w:hAnsi="TimesNewRoman" w:cs="TimesNewRoman"/>
          <w:color w:val="000000"/>
          <w:sz w:val="24"/>
          <w:szCs w:val="24"/>
        </w:rPr>
        <w:t xml:space="preserve">un outil conventionnel dans la </w:t>
      </w:r>
      <w:r w:rsidRPr="00CC626C">
        <w:rPr>
          <w:rFonts w:ascii="TimesNewRoman" w:hAnsi="TimesNewRoman" w:cs="TimesNewRoman"/>
          <w:color w:val="000000"/>
          <w:sz w:val="24"/>
          <w:szCs w:val="24"/>
        </w:rPr>
        <w:t>pièce à tester sous une charge prédéterminée.</w:t>
      </w:r>
    </w:p>
    <w:p w:rsidR="00DA63B1" w:rsidRDefault="00DA63B1" w:rsidP="00DA63B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:rsidR="00752AAB" w:rsidRPr="00752AAB" w:rsidRDefault="00752AAB" w:rsidP="00752AAB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II-1-4 </w:t>
      </w:r>
      <w:r w:rsidRPr="00752AAB">
        <w:rPr>
          <w:rFonts w:asciiTheme="majorBidi" w:hAnsiTheme="majorBidi" w:cstheme="majorBidi"/>
          <w:b/>
          <w:bCs/>
          <w:i/>
          <w:iCs/>
          <w:sz w:val="28"/>
          <w:szCs w:val="28"/>
        </w:rPr>
        <w:t>Essai de pliage :</w:t>
      </w:r>
    </w:p>
    <w:p w:rsidR="00752AAB" w:rsidRDefault="00752AAB" w:rsidP="00752AA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4"/>
          <w:szCs w:val="24"/>
        </w:rPr>
      </w:pPr>
      <w:r w:rsidRPr="00A54D6D">
        <w:rPr>
          <w:rFonts w:ascii="TimesNewRoman" w:hAnsi="TimesNewRoman" w:cs="TimesNewRoman"/>
          <w:color w:val="000000"/>
          <w:sz w:val="24"/>
          <w:szCs w:val="24"/>
        </w:rPr>
        <w:t>Cet essai permet d’apprécier qualitativement la ductilité d’un acier et l’</w:t>
      </w:r>
      <w:r>
        <w:rPr>
          <w:rFonts w:ascii="TimesNewRoman" w:hAnsi="TimesNewRoman" w:cs="TimesNewRoman"/>
          <w:color w:val="000000"/>
          <w:sz w:val="24"/>
          <w:szCs w:val="24"/>
        </w:rPr>
        <w:t xml:space="preserve">aptitude au </w:t>
      </w:r>
      <w:r w:rsidRPr="00A54D6D">
        <w:rPr>
          <w:rFonts w:ascii="TimesNewRoman" w:hAnsi="TimesNewRoman" w:cs="TimesNewRoman"/>
          <w:color w:val="000000"/>
          <w:sz w:val="24"/>
          <w:szCs w:val="24"/>
        </w:rPr>
        <w:t>formage à froid par pliage des tôles ou barres constituées de ce matériau.</w:t>
      </w:r>
    </w:p>
    <w:p w:rsidR="00752AAB" w:rsidRDefault="00752AAB" w:rsidP="00752AAB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:rsidR="00752AAB" w:rsidRPr="00CB7D95" w:rsidRDefault="00752AAB" w:rsidP="00752AAB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lastRenderedPageBreak/>
        <w:t xml:space="preserve">II-2 </w:t>
      </w:r>
      <w:r w:rsidRPr="00CB7D95">
        <w:rPr>
          <w:rFonts w:asciiTheme="majorBidi" w:hAnsiTheme="majorBidi" w:cstheme="majorBidi"/>
          <w:b/>
          <w:bCs/>
          <w:i/>
          <w:iCs/>
          <w:sz w:val="28"/>
          <w:szCs w:val="28"/>
        </w:rPr>
        <w:t>Nuances d'acier couramment utilisées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> :</w:t>
      </w:r>
    </w:p>
    <w:p w:rsidR="00752AAB" w:rsidRPr="00CB7D95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CB7D95">
        <w:rPr>
          <w:rFonts w:asciiTheme="majorBidi" w:hAnsiTheme="majorBidi" w:cstheme="majorBidi"/>
          <w:sz w:val="24"/>
          <w:szCs w:val="24"/>
        </w:rPr>
        <w:t>Les nuances couramment utilisées sont des aciers S235, S275, S355 et éventuellement S420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B7D95">
        <w:rPr>
          <w:rFonts w:asciiTheme="majorBidi" w:hAnsiTheme="majorBidi" w:cstheme="majorBidi"/>
          <w:sz w:val="24"/>
          <w:szCs w:val="24"/>
        </w:rPr>
        <w:t>ou S460. Leurs caractéristiques mécaniques sont données dans le tableau ci-dessous.</w:t>
      </w:r>
    </w:p>
    <w:p w:rsidR="00752AAB" w:rsidRPr="00CB7D95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CB7D95">
        <w:rPr>
          <w:rFonts w:asciiTheme="majorBidi" w:hAnsiTheme="majorBidi" w:cstheme="majorBidi"/>
          <w:sz w:val="24"/>
          <w:szCs w:val="24"/>
        </w:rPr>
        <w:t>Les chif</w:t>
      </w:r>
      <w:r>
        <w:rPr>
          <w:rFonts w:asciiTheme="majorBidi" w:hAnsiTheme="majorBidi" w:cstheme="majorBidi"/>
          <w:sz w:val="24"/>
          <w:szCs w:val="24"/>
        </w:rPr>
        <w:t>fr</w:t>
      </w:r>
      <w:r w:rsidRPr="00CB7D95">
        <w:rPr>
          <w:rFonts w:asciiTheme="majorBidi" w:hAnsiTheme="majorBidi" w:cstheme="majorBidi"/>
          <w:sz w:val="24"/>
          <w:szCs w:val="24"/>
        </w:rPr>
        <w:t xml:space="preserve">es correspondent aux valeurs de fy en </w:t>
      </w:r>
      <w:proofErr w:type="spellStart"/>
      <w:r w:rsidRPr="00CB7D95">
        <w:rPr>
          <w:rFonts w:asciiTheme="majorBidi" w:hAnsiTheme="majorBidi" w:cstheme="majorBidi"/>
          <w:sz w:val="24"/>
          <w:szCs w:val="24"/>
        </w:rPr>
        <w:t>MPa</w:t>
      </w:r>
      <w:proofErr w:type="spellEnd"/>
      <w:r w:rsidRPr="00CB7D95">
        <w:rPr>
          <w:rFonts w:asciiTheme="majorBidi" w:hAnsiTheme="majorBidi" w:cstheme="majorBidi"/>
          <w:sz w:val="24"/>
          <w:szCs w:val="24"/>
        </w:rPr>
        <w:t xml:space="preserve"> pour des épaisseurs infér</w:t>
      </w:r>
      <w:r>
        <w:rPr>
          <w:rFonts w:asciiTheme="majorBidi" w:hAnsiTheme="majorBidi" w:cstheme="majorBidi"/>
          <w:sz w:val="24"/>
          <w:szCs w:val="24"/>
        </w:rPr>
        <w:t xml:space="preserve">ieures ou égales </w:t>
      </w:r>
      <w:r w:rsidRPr="00CB7D95">
        <w:rPr>
          <w:rFonts w:asciiTheme="majorBidi" w:hAnsiTheme="majorBidi" w:cstheme="majorBidi"/>
          <w:sz w:val="24"/>
          <w:szCs w:val="24"/>
        </w:rPr>
        <w:t xml:space="preserve">à 40 </w:t>
      </w:r>
      <w:proofErr w:type="spellStart"/>
      <w:r w:rsidRPr="00CB7D95">
        <w:rPr>
          <w:rFonts w:asciiTheme="majorBidi" w:hAnsiTheme="majorBidi" w:cstheme="majorBidi"/>
          <w:sz w:val="24"/>
          <w:szCs w:val="24"/>
        </w:rPr>
        <w:t>mm.</w:t>
      </w:r>
      <w:proofErr w:type="spellEnd"/>
    </w:p>
    <w:p w:rsidR="00752AAB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CB7D95">
        <w:rPr>
          <w:rFonts w:asciiTheme="majorBidi" w:hAnsiTheme="majorBidi" w:cstheme="majorBidi"/>
          <w:sz w:val="24"/>
          <w:szCs w:val="24"/>
        </w:rPr>
        <w:t>Les indices de qualité JR, J0 et J2 indiquent des qualités gara</w:t>
      </w:r>
      <w:r>
        <w:rPr>
          <w:rFonts w:asciiTheme="majorBidi" w:hAnsiTheme="majorBidi" w:cstheme="majorBidi"/>
          <w:sz w:val="24"/>
          <w:szCs w:val="24"/>
        </w:rPr>
        <w:t xml:space="preserve">nties respectivement à des     températures de </w:t>
      </w:r>
      <w:r w:rsidRPr="00CB7D95">
        <w:rPr>
          <w:rFonts w:asciiTheme="majorBidi" w:hAnsiTheme="majorBidi" w:cstheme="majorBidi"/>
          <w:sz w:val="24"/>
          <w:szCs w:val="24"/>
        </w:rPr>
        <w:t>20</w:t>
      </w:r>
      <w:r>
        <w:rPr>
          <w:rFonts w:asciiTheme="majorBidi" w:hAnsiTheme="majorBidi" w:cstheme="majorBidi"/>
          <w:sz w:val="24"/>
          <w:szCs w:val="24"/>
          <w:vertAlign w:val="superscript"/>
        </w:rPr>
        <w:t>0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B7D95">
        <w:rPr>
          <w:rFonts w:asciiTheme="majorBidi" w:hAnsiTheme="majorBidi" w:cstheme="majorBidi"/>
          <w:sz w:val="24"/>
          <w:szCs w:val="24"/>
        </w:rPr>
        <w:t>C</w:t>
      </w:r>
      <w:r>
        <w:rPr>
          <w:rFonts w:asciiTheme="majorBidi" w:hAnsiTheme="majorBidi" w:cstheme="majorBidi"/>
          <w:sz w:val="24"/>
          <w:szCs w:val="24"/>
        </w:rPr>
        <w:t>, 0</w:t>
      </w:r>
      <w:r>
        <w:rPr>
          <w:rFonts w:asciiTheme="majorBidi" w:hAnsiTheme="majorBidi" w:cstheme="majorBidi"/>
          <w:sz w:val="24"/>
          <w:szCs w:val="24"/>
          <w:vertAlign w:val="superscript"/>
        </w:rPr>
        <w:t>0</w:t>
      </w:r>
      <w:r>
        <w:rPr>
          <w:rFonts w:asciiTheme="majorBidi" w:hAnsiTheme="majorBidi" w:cstheme="majorBidi"/>
          <w:sz w:val="24"/>
          <w:szCs w:val="24"/>
        </w:rPr>
        <w:t xml:space="preserve"> C et -20</w:t>
      </w:r>
      <w:r>
        <w:rPr>
          <w:rFonts w:asciiTheme="majorBidi" w:hAnsiTheme="majorBidi" w:cstheme="majorBidi"/>
          <w:sz w:val="24"/>
          <w:szCs w:val="24"/>
          <w:vertAlign w:val="superscript"/>
        </w:rPr>
        <w:t>0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B7D95">
        <w:rPr>
          <w:rFonts w:asciiTheme="majorBidi" w:hAnsiTheme="majorBidi" w:cstheme="majorBidi"/>
          <w:sz w:val="24"/>
          <w:szCs w:val="24"/>
        </w:rPr>
        <w:t>C</w:t>
      </w:r>
    </w:p>
    <w:p w:rsidR="00752AAB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</w:p>
    <w:p w:rsidR="00752AAB" w:rsidRPr="00933819" w:rsidRDefault="00752AAB" w:rsidP="00752AAB">
      <w:pPr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933819">
        <w:rPr>
          <w:rFonts w:asciiTheme="majorBidi" w:hAnsiTheme="majorBidi" w:cstheme="majorBidi"/>
          <w:b/>
          <w:bCs/>
          <w:i/>
          <w:iCs/>
          <w:sz w:val="24"/>
          <w:szCs w:val="24"/>
        </w:rPr>
        <w:t>Caractéristiques mécaniques des aciers laminés à chaud EN 10025-2</w:t>
      </w:r>
    </w:p>
    <w:p w:rsidR="00752AAB" w:rsidRDefault="00752AAB" w:rsidP="00752AAB">
      <w:pPr>
        <w:rPr>
          <w:rFonts w:asciiTheme="majorBidi" w:hAnsiTheme="majorBidi" w:cstheme="majorBidi"/>
          <w:sz w:val="24"/>
          <w:szCs w:val="24"/>
        </w:rPr>
      </w:pPr>
      <w:r w:rsidRPr="00CC0E87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5BA6832E" wp14:editId="1E0352C8">
            <wp:extent cx="5760720" cy="1584198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8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AAB" w:rsidRPr="00933819" w:rsidRDefault="00752AAB" w:rsidP="00752AAB">
      <w:pPr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933819">
        <w:rPr>
          <w:rFonts w:asciiTheme="majorBidi" w:hAnsiTheme="majorBidi" w:cstheme="majorBidi"/>
          <w:b/>
          <w:bCs/>
          <w:i/>
          <w:iCs/>
          <w:sz w:val="24"/>
          <w:szCs w:val="24"/>
        </w:rPr>
        <w:t>Caractéristiques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mécaniques des aciers pour profi</w:t>
      </w:r>
      <w:r w:rsidRPr="00933819">
        <w:rPr>
          <w:rFonts w:asciiTheme="majorBidi" w:hAnsiTheme="majorBidi" w:cstheme="majorBidi"/>
          <w:b/>
          <w:bCs/>
          <w:i/>
          <w:iCs/>
          <w:sz w:val="24"/>
          <w:szCs w:val="24"/>
        </w:rPr>
        <w:t>ls creux EN 10210-1</w:t>
      </w:r>
    </w:p>
    <w:p w:rsidR="00752AAB" w:rsidRDefault="00752AAB" w:rsidP="00752AAB">
      <w:pPr>
        <w:rPr>
          <w:rFonts w:asciiTheme="majorBidi" w:hAnsiTheme="majorBidi" w:cstheme="majorBidi"/>
          <w:sz w:val="24"/>
          <w:szCs w:val="24"/>
        </w:rPr>
      </w:pPr>
      <w:r w:rsidRPr="00CC0E87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008B78AF" wp14:editId="01A183A1">
            <wp:extent cx="5760720" cy="1683544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8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AAB" w:rsidRDefault="00752AAB" w:rsidP="00752AAB">
      <w:pPr>
        <w:rPr>
          <w:rFonts w:asciiTheme="majorBidi" w:hAnsiTheme="majorBidi" w:cstheme="majorBidi"/>
          <w:i/>
          <w:iCs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II-3 </w:t>
      </w:r>
      <w:r w:rsidRPr="00AA7E1B">
        <w:rPr>
          <w:rFonts w:asciiTheme="majorBidi" w:hAnsiTheme="majorBidi" w:cstheme="majorBidi"/>
          <w:b/>
          <w:bCs/>
          <w:i/>
          <w:iCs/>
          <w:sz w:val="28"/>
          <w:szCs w:val="28"/>
        </w:rPr>
        <w:t>Sécurité des structures</w:t>
      </w:r>
    </w:p>
    <w:p w:rsidR="00752AAB" w:rsidRPr="00AA7E1B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eastAsia="Garamond-Identity-H" w:hAnsiTheme="majorBidi" w:cstheme="majorBidi"/>
          <w:sz w:val="24"/>
          <w:szCs w:val="24"/>
        </w:rPr>
      </w:pPr>
      <w:r w:rsidRPr="00AA7E1B">
        <w:rPr>
          <w:rFonts w:asciiTheme="majorBidi" w:hAnsiTheme="majorBidi" w:cstheme="majorBidi"/>
          <w:sz w:val="24"/>
          <w:szCs w:val="24"/>
        </w:rPr>
        <w:t xml:space="preserve">Une définition de la sécurité : </w:t>
      </w:r>
      <w:r w:rsidRPr="00AA7E1B">
        <w:rPr>
          <w:rFonts w:asciiTheme="majorBidi" w:eastAsia="Garamond-Identity-H" w:hAnsiTheme="majorBidi" w:cstheme="majorBidi"/>
          <w:sz w:val="24"/>
          <w:szCs w:val="24"/>
        </w:rPr>
        <w:t>l’absence du risque.</w:t>
      </w:r>
    </w:p>
    <w:p w:rsidR="00752AAB" w:rsidRPr="00AA7E1B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AA7E1B">
        <w:rPr>
          <w:rFonts w:asciiTheme="majorBidi" w:hAnsiTheme="majorBidi" w:cstheme="majorBidi"/>
          <w:sz w:val="24"/>
          <w:szCs w:val="24"/>
        </w:rPr>
        <w:t xml:space="preserve">- Un ouvrage en acier doit être conçu et calculé </w:t>
      </w:r>
      <w:r>
        <w:rPr>
          <w:rFonts w:asciiTheme="majorBidi" w:hAnsiTheme="majorBidi" w:cstheme="majorBidi"/>
          <w:sz w:val="24"/>
          <w:szCs w:val="24"/>
        </w:rPr>
        <w:t xml:space="preserve">de manière à </w:t>
      </w:r>
      <w:r w:rsidRPr="00AA7E1B">
        <w:rPr>
          <w:rFonts w:asciiTheme="majorBidi" w:hAnsiTheme="majorBidi" w:cstheme="majorBidi"/>
          <w:sz w:val="24"/>
          <w:szCs w:val="24"/>
        </w:rPr>
        <w:t xml:space="preserve">présenter une sécurité liée à </w:t>
      </w:r>
      <w:r w:rsidRPr="00AA7E1B">
        <w:rPr>
          <w:rFonts w:asciiTheme="majorBidi" w:eastAsia="Garamond-Identity-H" w:hAnsiTheme="majorBidi" w:cstheme="majorBidi"/>
          <w:sz w:val="24"/>
          <w:szCs w:val="24"/>
        </w:rPr>
        <w:t>l’</w:t>
      </w:r>
      <w:r w:rsidRPr="00AA7E1B">
        <w:rPr>
          <w:rFonts w:asciiTheme="majorBidi" w:hAnsiTheme="majorBidi" w:cstheme="majorBidi"/>
          <w:sz w:val="24"/>
          <w:szCs w:val="24"/>
        </w:rPr>
        <w:t xml:space="preserve">existence et à </w:t>
      </w:r>
      <w:r w:rsidRPr="00AA7E1B">
        <w:rPr>
          <w:rFonts w:asciiTheme="majorBidi" w:eastAsia="Garamond-Identity-H" w:hAnsiTheme="majorBidi" w:cstheme="majorBidi"/>
          <w:sz w:val="24"/>
          <w:szCs w:val="24"/>
        </w:rPr>
        <w:t>l’</w:t>
      </w:r>
      <w:r w:rsidRPr="00AA7E1B">
        <w:rPr>
          <w:rFonts w:asciiTheme="majorBidi" w:hAnsiTheme="majorBidi" w:cstheme="majorBidi"/>
          <w:sz w:val="24"/>
          <w:szCs w:val="24"/>
        </w:rPr>
        <w:t>utilisation de cette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AA7E1B">
        <w:rPr>
          <w:rFonts w:asciiTheme="majorBidi" w:hAnsiTheme="majorBidi" w:cstheme="majorBidi"/>
          <w:sz w:val="24"/>
          <w:szCs w:val="24"/>
        </w:rPr>
        <w:t>construction.</w:t>
      </w:r>
    </w:p>
    <w:p w:rsidR="00752AAB" w:rsidRPr="00AA7E1B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AA7E1B">
        <w:rPr>
          <w:rFonts w:asciiTheme="majorBidi" w:hAnsiTheme="majorBidi" w:cstheme="majorBidi"/>
          <w:sz w:val="24"/>
          <w:szCs w:val="24"/>
        </w:rPr>
        <w:t>- En général les risques sont :</w:t>
      </w:r>
    </w:p>
    <w:p w:rsidR="00752AAB" w:rsidRPr="00AA7E1B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AA7E1B">
        <w:rPr>
          <w:rFonts w:asciiTheme="majorBidi" w:hAnsiTheme="majorBidi" w:cstheme="majorBidi"/>
          <w:sz w:val="24"/>
          <w:szCs w:val="24"/>
        </w:rPr>
        <w:t xml:space="preserve">* la ruine de </w:t>
      </w:r>
      <w:r w:rsidRPr="00AA7E1B">
        <w:rPr>
          <w:rFonts w:asciiTheme="majorBidi" w:eastAsia="Garamond-Identity-H" w:hAnsiTheme="majorBidi" w:cstheme="majorBidi"/>
          <w:sz w:val="24"/>
          <w:szCs w:val="24"/>
        </w:rPr>
        <w:t xml:space="preserve">l’ouvrage </w:t>
      </w:r>
      <w:r w:rsidRPr="00AA7E1B">
        <w:rPr>
          <w:rFonts w:asciiTheme="majorBidi" w:hAnsiTheme="majorBidi" w:cstheme="majorBidi"/>
          <w:sz w:val="24"/>
          <w:szCs w:val="24"/>
        </w:rPr>
        <w:t xml:space="preserve">ou de </w:t>
      </w:r>
      <w:r w:rsidRPr="00AA7E1B">
        <w:rPr>
          <w:rFonts w:asciiTheme="majorBidi" w:eastAsia="Garamond-Identity-H" w:hAnsiTheme="majorBidi" w:cstheme="majorBidi"/>
          <w:sz w:val="24"/>
          <w:szCs w:val="24"/>
        </w:rPr>
        <w:t xml:space="preserve">l’un </w:t>
      </w:r>
      <w:r w:rsidRPr="00AA7E1B">
        <w:rPr>
          <w:rFonts w:asciiTheme="majorBidi" w:hAnsiTheme="majorBidi" w:cstheme="majorBidi"/>
          <w:sz w:val="24"/>
          <w:szCs w:val="24"/>
        </w:rPr>
        <w:t>de ses éléments,</w:t>
      </w:r>
    </w:p>
    <w:p w:rsidR="00752AAB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AA7E1B">
        <w:rPr>
          <w:rFonts w:asciiTheme="majorBidi" w:hAnsiTheme="majorBidi" w:cstheme="majorBidi"/>
          <w:sz w:val="24"/>
          <w:szCs w:val="24"/>
        </w:rPr>
        <w:t xml:space="preserve">* un comportement anormal susceptible </w:t>
      </w:r>
      <w:r w:rsidRPr="00AA7E1B">
        <w:rPr>
          <w:rFonts w:asciiTheme="majorBidi" w:eastAsia="Garamond-Identity-H" w:hAnsiTheme="majorBidi" w:cstheme="majorBidi"/>
          <w:sz w:val="24"/>
          <w:szCs w:val="24"/>
        </w:rPr>
        <w:t xml:space="preserve">d’affecter </w:t>
      </w:r>
      <w:r w:rsidRPr="00AA7E1B">
        <w:rPr>
          <w:rFonts w:asciiTheme="majorBidi" w:hAnsiTheme="majorBidi" w:cstheme="majorBidi"/>
          <w:sz w:val="24"/>
          <w:szCs w:val="24"/>
        </w:rPr>
        <w:t>la durabilité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AA7E1B">
        <w:rPr>
          <w:rFonts w:asciiTheme="majorBidi" w:eastAsia="Garamond-Identity-H" w:hAnsiTheme="majorBidi" w:cstheme="majorBidi"/>
          <w:sz w:val="24"/>
          <w:szCs w:val="24"/>
        </w:rPr>
        <w:t>l’</w:t>
      </w:r>
      <w:r w:rsidRPr="00AA7E1B">
        <w:rPr>
          <w:rFonts w:asciiTheme="majorBidi" w:hAnsiTheme="majorBidi" w:cstheme="majorBidi"/>
          <w:sz w:val="24"/>
          <w:szCs w:val="24"/>
        </w:rPr>
        <w:t xml:space="preserve">aspect ou </w:t>
      </w:r>
      <w:r w:rsidRPr="00AA7E1B">
        <w:rPr>
          <w:rFonts w:asciiTheme="majorBidi" w:eastAsia="Garamond-Identity-H" w:hAnsiTheme="majorBidi" w:cstheme="majorBidi"/>
          <w:sz w:val="24"/>
          <w:szCs w:val="24"/>
        </w:rPr>
        <w:t>l’</w:t>
      </w:r>
      <w:r w:rsidRPr="00AA7E1B">
        <w:rPr>
          <w:rFonts w:asciiTheme="majorBidi" w:hAnsiTheme="majorBidi" w:cstheme="majorBidi"/>
          <w:sz w:val="24"/>
          <w:szCs w:val="24"/>
        </w:rPr>
        <w:t>utilisation de cet ouvrage.</w:t>
      </w:r>
    </w:p>
    <w:p w:rsidR="00752AAB" w:rsidRPr="00201094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201094">
        <w:rPr>
          <w:rFonts w:asciiTheme="majorBidi" w:hAnsiTheme="majorBidi" w:cstheme="majorBidi"/>
          <w:sz w:val="24"/>
          <w:szCs w:val="24"/>
        </w:rPr>
        <w:t>- En réalité la notion de sécurité reste liée aux diverses causes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D14E8">
        <w:rPr>
          <w:rFonts w:asciiTheme="majorBidi" w:eastAsia="Garamond-Identity-H" w:hAnsiTheme="majorBidi" w:cstheme="majorBidi"/>
          <w:sz w:val="24"/>
          <w:szCs w:val="24"/>
        </w:rPr>
        <w:t>d’</w:t>
      </w:r>
      <w:r w:rsidRPr="008D14E8">
        <w:rPr>
          <w:rFonts w:asciiTheme="majorBidi" w:hAnsiTheme="majorBidi" w:cstheme="majorBidi"/>
          <w:sz w:val="24"/>
          <w:szCs w:val="24"/>
        </w:rPr>
        <w:t xml:space="preserve">incertitudes </w:t>
      </w:r>
      <w:r w:rsidRPr="00201094">
        <w:rPr>
          <w:rFonts w:asciiTheme="majorBidi" w:hAnsiTheme="majorBidi" w:cstheme="majorBidi"/>
          <w:sz w:val="24"/>
          <w:szCs w:val="24"/>
        </w:rPr>
        <w:t>qui peuvent exister,</w:t>
      </w:r>
      <w:r>
        <w:rPr>
          <w:rFonts w:asciiTheme="majorBidi" w:hAnsiTheme="majorBidi" w:cstheme="majorBidi"/>
          <w:sz w:val="24"/>
          <w:szCs w:val="24"/>
        </w:rPr>
        <w:t xml:space="preserve"> qui sont liées au grand nombre </w:t>
      </w:r>
      <w:r w:rsidRPr="00201094">
        <w:rPr>
          <w:rFonts w:asciiTheme="majorBidi" w:eastAsia="Garamond-Identity-H" w:hAnsiTheme="majorBidi" w:cstheme="majorBidi"/>
          <w:sz w:val="24"/>
          <w:szCs w:val="24"/>
        </w:rPr>
        <w:t xml:space="preserve">d’imprécisions, d’imperfections </w:t>
      </w:r>
      <w:r w:rsidRPr="00201094">
        <w:rPr>
          <w:rFonts w:asciiTheme="majorBidi" w:hAnsiTheme="majorBidi" w:cstheme="majorBidi"/>
          <w:sz w:val="24"/>
          <w:szCs w:val="24"/>
        </w:rPr>
        <w:t xml:space="preserve">et </w:t>
      </w:r>
      <w:r w:rsidRPr="00201094">
        <w:rPr>
          <w:rFonts w:asciiTheme="majorBidi" w:eastAsia="Garamond-Identity-H" w:hAnsiTheme="majorBidi" w:cstheme="majorBidi"/>
          <w:sz w:val="24"/>
          <w:szCs w:val="24"/>
        </w:rPr>
        <w:t xml:space="preserve">d’erreurs </w:t>
      </w:r>
      <w:r w:rsidRPr="00201094">
        <w:rPr>
          <w:rFonts w:asciiTheme="majorBidi" w:hAnsiTheme="majorBidi" w:cstheme="majorBidi"/>
          <w:sz w:val="24"/>
          <w:szCs w:val="24"/>
        </w:rPr>
        <w:t>pouvant affecter :</w:t>
      </w:r>
    </w:p>
    <w:p w:rsidR="00752AAB" w:rsidRPr="00201094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201094">
        <w:rPr>
          <w:rFonts w:asciiTheme="majorBidi" w:hAnsiTheme="majorBidi" w:cstheme="majorBidi"/>
          <w:sz w:val="24"/>
          <w:szCs w:val="24"/>
        </w:rPr>
        <w:t xml:space="preserve">* la conception </w:t>
      </w:r>
      <w:r w:rsidRPr="00201094">
        <w:rPr>
          <w:rFonts w:asciiTheme="majorBidi" w:eastAsia="Garamond-Identity-H" w:hAnsiTheme="majorBidi" w:cstheme="majorBidi"/>
          <w:sz w:val="24"/>
          <w:szCs w:val="24"/>
        </w:rPr>
        <w:t xml:space="preserve">d’une </w:t>
      </w:r>
      <w:r w:rsidRPr="00201094">
        <w:rPr>
          <w:rFonts w:asciiTheme="majorBidi" w:hAnsiTheme="majorBidi" w:cstheme="majorBidi"/>
          <w:sz w:val="24"/>
          <w:szCs w:val="24"/>
        </w:rPr>
        <w:t>structure,</w:t>
      </w:r>
    </w:p>
    <w:p w:rsidR="00752AAB" w:rsidRPr="00201094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201094">
        <w:rPr>
          <w:rFonts w:asciiTheme="majorBidi" w:hAnsiTheme="majorBidi" w:cstheme="majorBidi"/>
          <w:sz w:val="24"/>
          <w:szCs w:val="24"/>
        </w:rPr>
        <w:t>* la fabrication des éléments,</w:t>
      </w:r>
    </w:p>
    <w:p w:rsidR="00752AAB" w:rsidRPr="00201094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201094">
        <w:rPr>
          <w:rFonts w:asciiTheme="majorBidi" w:hAnsiTheme="majorBidi" w:cstheme="majorBidi"/>
          <w:sz w:val="24"/>
          <w:szCs w:val="24"/>
        </w:rPr>
        <w:t>* la transformation des pièces,</w:t>
      </w:r>
    </w:p>
    <w:p w:rsidR="00752AAB" w:rsidRPr="00201094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201094">
        <w:rPr>
          <w:rFonts w:asciiTheme="majorBidi" w:hAnsiTheme="majorBidi" w:cstheme="majorBidi"/>
          <w:sz w:val="24"/>
          <w:szCs w:val="24"/>
        </w:rPr>
        <w:lastRenderedPageBreak/>
        <w:t>* le montage sur site,</w:t>
      </w:r>
    </w:p>
    <w:p w:rsidR="00752AAB" w:rsidRPr="00201094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eastAsia="Garamond-Identity-H" w:hAnsiTheme="majorBidi" w:cstheme="majorBidi"/>
          <w:sz w:val="24"/>
          <w:szCs w:val="24"/>
        </w:rPr>
      </w:pPr>
      <w:r w:rsidRPr="00201094">
        <w:rPr>
          <w:rFonts w:asciiTheme="majorBidi" w:hAnsiTheme="majorBidi" w:cstheme="majorBidi"/>
          <w:sz w:val="24"/>
          <w:szCs w:val="24"/>
        </w:rPr>
        <w:t xml:space="preserve">* </w:t>
      </w:r>
      <w:r w:rsidRPr="00201094">
        <w:rPr>
          <w:rFonts w:asciiTheme="majorBidi" w:eastAsia="Garamond-Identity-H" w:hAnsiTheme="majorBidi" w:cstheme="majorBidi"/>
          <w:sz w:val="24"/>
          <w:szCs w:val="24"/>
        </w:rPr>
        <w:t xml:space="preserve">l’exploitation </w:t>
      </w:r>
      <w:r w:rsidRPr="00201094">
        <w:rPr>
          <w:rFonts w:asciiTheme="majorBidi" w:hAnsiTheme="majorBidi" w:cstheme="majorBidi"/>
          <w:sz w:val="24"/>
          <w:szCs w:val="24"/>
        </w:rPr>
        <w:t xml:space="preserve">par le maître </w:t>
      </w:r>
      <w:r w:rsidRPr="00201094">
        <w:rPr>
          <w:rFonts w:asciiTheme="majorBidi" w:eastAsia="Garamond-Identity-H" w:hAnsiTheme="majorBidi" w:cstheme="majorBidi"/>
          <w:sz w:val="24"/>
          <w:szCs w:val="24"/>
        </w:rPr>
        <w:t>d’ouvrage,</w:t>
      </w:r>
    </w:p>
    <w:p w:rsidR="00752AAB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201094">
        <w:rPr>
          <w:rFonts w:asciiTheme="majorBidi" w:hAnsiTheme="majorBidi" w:cstheme="majorBidi"/>
          <w:sz w:val="24"/>
          <w:szCs w:val="24"/>
        </w:rPr>
        <w:t>* . . . . . etc.</w:t>
      </w:r>
    </w:p>
    <w:p w:rsidR="00752AAB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501EA0">
        <w:rPr>
          <w:rFonts w:asciiTheme="majorBidi" w:hAnsiTheme="majorBidi" w:cstheme="majorBidi"/>
          <w:sz w:val="24"/>
          <w:szCs w:val="24"/>
        </w:rPr>
        <w:t xml:space="preserve">- </w:t>
      </w:r>
      <w:r w:rsidRPr="00501EA0">
        <w:rPr>
          <w:rFonts w:asciiTheme="majorBidi" w:eastAsia="Garamond-Identity-H" w:hAnsiTheme="majorBidi" w:cstheme="majorBidi"/>
          <w:sz w:val="24"/>
          <w:szCs w:val="24"/>
        </w:rPr>
        <w:t xml:space="preserve">L’idée </w:t>
      </w:r>
      <w:r w:rsidRPr="00501EA0">
        <w:rPr>
          <w:rFonts w:asciiTheme="majorBidi" w:hAnsiTheme="majorBidi" w:cstheme="majorBidi"/>
          <w:sz w:val="24"/>
          <w:szCs w:val="24"/>
        </w:rPr>
        <w:t>de base du probabilisme est de limiter la probabilité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01EA0">
        <w:rPr>
          <w:rFonts w:asciiTheme="majorBidi" w:eastAsia="Garamond-Identity-H" w:hAnsiTheme="majorBidi" w:cstheme="majorBidi"/>
          <w:sz w:val="24"/>
          <w:szCs w:val="24"/>
        </w:rPr>
        <w:t xml:space="preserve">d’atteindre </w:t>
      </w:r>
      <w:r w:rsidRPr="00501EA0">
        <w:rPr>
          <w:rFonts w:asciiTheme="majorBidi" w:hAnsiTheme="majorBidi" w:cstheme="majorBidi"/>
          <w:sz w:val="24"/>
          <w:szCs w:val="24"/>
        </w:rPr>
        <w:t xml:space="preserve">des états indésirables de la </w:t>
      </w:r>
      <w:r>
        <w:rPr>
          <w:rFonts w:asciiTheme="majorBidi" w:hAnsiTheme="majorBidi" w:cstheme="majorBidi"/>
          <w:sz w:val="24"/>
          <w:szCs w:val="24"/>
        </w:rPr>
        <w:t xml:space="preserve">structure en acier à une valeur </w:t>
      </w:r>
      <w:r w:rsidRPr="00501EA0">
        <w:rPr>
          <w:rFonts w:asciiTheme="majorBidi" w:hAnsiTheme="majorBidi" w:cstheme="majorBidi"/>
          <w:sz w:val="24"/>
          <w:szCs w:val="24"/>
        </w:rPr>
        <w:t>acceptable en tenant compte du caractèr</w:t>
      </w:r>
      <w:r>
        <w:rPr>
          <w:rFonts w:asciiTheme="majorBidi" w:hAnsiTheme="majorBidi" w:cstheme="majorBidi"/>
          <w:sz w:val="24"/>
          <w:szCs w:val="24"/>
        </w:rPr>
        <w:t xml:space="preserve">e aléatoire des paramètres dans </w:t>
      </w:r>
      <w:r w:rsidRPr="00501EA0">
        <w:rPr>
          <w:rFonts w:asciiTheme="majorBidi" w:hAnsiTheme="majorBidi" w:cstheme="majorBidi"/>
          <w:sz w:val="24"/>
          <w:szCs w:val="24"/>
        </w:rPr>
        <w:t>le calcul.</w:t>
      </w:r>
    </w:p>
    <w:p w:rsidR="00752AAB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- </w:t>
      </w:r>
      <w:r w:rsidRPr="00F6557D">
        <w:rPr>
          <w:rFonts w:asciiTheme="majorBidi" w:hAnsiTheme="majorBidi" w:cstheme="majorBidi"/>
          <w:sz w:val="24"/>
          <w:szCs w:val="24"/>
        </w:rPr>
        <w:t>En réalité, les lois de probabilité des différentes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6557D">
        <w:rPr>
          <w:rFonts w:asciiTheme="majorBidi" w:hAnsiTheme="majorBidi" w:cstheme="majorBidi"/>
          <w:sz w:val="24"/>
          <w:szCs w:val="24"/>
        </w:rPr>
        <w:t>variables ne sont pas toujours connues</w:t>
      </w:r>
    </w:p>
    <w:p w:rsidR="00752AAB" w:rsidRDefault="00752AAB" w:rsidP="00752AAB">
      <w:pPr>
        <w:rPr>
          <w:rFonts w:asciiTheme="majorBidi" w:hAnsiTheme="majorBidi" w:cstheme="majorBidi"/>
          <w:sz w:val="24"/>
          <w:szCs w:val="24"/>
        </w:rPr>
      </w:pPr>
    </w:p>
    <w:p w:rsidR="00752AAB" w:rsidRDefault="00752AAB" w:rsidP="00752AAB">
      <w:pPr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II-3-1 </w:t>
      </w:r>
      <w:r w:rsidRPr="00F71E44">
        <w:rPr>
          <w:rFonts w:asciiTheme="majorBidi" w:hAnsiTheme="majorBidi" w:cstheme="majorBidi"/>
          <w:b/>
          <w:bCs/>
          <w:i/>
          <w:iCs/>
          <w:sz w:val="28"/>
          <w:szCs w:val="28"/>
        </w:rPr>
        <w:t>Les états-limites</w:t>
      </w:r>
    </w:p>
    <w:p w:rsidR="00752AAB" w:rsidRPr="00F71E44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F71E44">
        <w:rPr>
          <w:rFonts w:asciiTheme="majorBidi" w:hAnsiTheme="majorBidi" w:cstheme="majorBidi"/>
          <w:b/>
          <w:bCs/>
          <w:sz w:val="24"/>
          <w:szCs w:val="24"/>
        </w:rPr>
        <w:t xml:space="preserve">État-limite : </w:t>
      </w:r>
      <w:r w:rsidRPr="00F71E44">
        <w:rPr>
          <w:rFonts w:asciiTheme="majorBidi" w:hAnsiTheme="majorBidi" w:cstheme="majorBidi"/>
          <w:sz w:val="24"/>
          <w:szCs w:val="24"/>
        </w:rPr>
        <w:t>État particulier au-delà duquel (dépassement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71E44">
        <w:rPr>
          <w:rFonts w:asciiTheme="majorBidi" w:hAnsiTheme="majorBidi" w:cstheme="majorBidi"/>
          <w:sz w:val="24"/>
          <w:szCs w:val="24"/>
        </w:rPr>
        <w:t xml:space="preserve">dans le sens défavorable) la structure (ou </w:t>
      </w:r>
      <w:r w:rsidRPr="00F71E44">
        <w:rPr>
          <w:rFonts w:asciiTheme="majorBidi" w:eastAsia="Garamond-Identity-H" w:hAnsiTheme="majorBidi" w:cstheme="majorBidi"/>
          <w:sz w:val="24"/>
          <w:szCs w:val="24"/>
        </w:rPr>
        <w:t xml:space="preserve">l’un </w:t>
      </w:r>
      <w:r>
        <w:rPr>
          <w:rFonts w:asciiTheme="majorBidi" w:hAnsiTheme="majorBidi" w:cstheme="majorBidi"/>
          <w:sz w:val="24"/>
          <w:szCs w:val="24"/>
        </w:rPr>
        <w:t xml:space="preserve">de ses </w:t>
      </w:r>
      <w:r w:rsidRPr="00F71E44">
        <w:rPr>
          <w:rFonts w:asciiTheme="majorBidi" w:hAnsiTheme="majorBidi" w:cstheme="majorBidi"/>
          <w:sz w:val="24"/>
          <w:szCs w:val="24"/>
        </w:rPr>
        <w:t xml:space="preserve">éléments) </w:t>
      </w:r>
      <w:r w:rsidRPr="00F71E44">
        <w:rPr>
          <w:rFonts w:asciiTheme="majorBidi" w:eastAsia="Garamond-Identity-H" w:hAnsiTheme="majorBidi" w:cstheme="majorBidi"/>
          <w:sz w:val="24"/>
          <w:szCs w:val="24"/>
        </w:rPr>
        <w:t xml:space="preserve">n’assure </w:t>
      </w:r>
      <w:r w:rsidRPr="00F71E44">
        <w:rPr>
          <w:rFonts w:asciiTheme="majorBidi" w:hAnsiTheme="majorBidi" w:cstheme="majorBidi"/>
          <w:sz w:val="24"/>
          <w:szCs w:val="24"/>
        </w:rPr>
        <w:t>plus les fon</w:t>
      </w:r>
      <w:r>
        <w:rPr>
          <w:rFonts w:asciiTheme="majorBidi" w:hAnsiTheme="majorBidi" w:cstheme="majorBidi"/>
          <w:sz w:val="24"/>
          <w:szCs w:val="24"/>
        </w:rPr>
        <w:t xml:space="preserve">ctions et ne satisfait plus aux </w:t>
      </w:r>
      <w:r w:rsidRPr="00F71E44">
        <w:rPr>
          <w:rFonts w:asciiTheme="majorBidi" w:hAnsiTheme="majorBidi" w:cstheme="majorBidi"/>
          <w:sz w:val="24"/>
          <w:szCs w:val="24"/>
        </w:rPr>
        <w:t>exigences pour lesquelles elle a été conçue.</w:t>
      </w:r>
    </w:p>
    <w:p w:rsidR="00752AAB" w:rsidRPr="00F71E44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F71E44">
        <w:rPr>
          <w:rFonts w:asciiTheme="majorBidi" w:hAnsiTheme="majorBidi" w:cstheme="majorBidi"/>
          <w:sz w:val="24"/>
          <w:szCs w:val="24"/>
        </w:rPr>
        <w:t xml:space="preserve">On distingue deux catégories </w:t>
      </w:r>
      <w:r w:rsidRPr="00F71E44">
        <w:rPr>
          <w:rFonts w:asciiTheme="majorBidi" w:eastAsia="Garamond-Identity-H" w:hAnsiTheme="majorBidi" w:cstheme="majorBidi"/>
          <w:sz w:val="24"/>
          <w:szCs w:val="24"/>
        </w:rPr>
        <w:t>d’états</w:t>
      </w:r>
      <w:r w:rsidRPr="00F71E44">
        <w:rPr>
          <w:rFonts w:asciiTheme="majorBidi" w:hAnsiTheme="majorBidi" w:cstheme="majorBidi"/>
          <w:sz w:val="24"/>
          <w:szCs w:val="24"/>
        </w:rPr>
        <w:t>-limites :</w:t>
      </w:r>
    </w:p>
    <w:p w:rsidR="00752AAB" w:rsidRPr="00F71E44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F71E44">
        <w:rPr>
          <w:rFonts w:asciiTheme="majorBidi" w:hAnsiTheme="majorBidi" w:cstheme="majorBidi"/>
          <w:sz w:val="24"/>
          <w:szCs w:val="24"/>
        </w:rPr>
        <w:t>- les états-limites ultimes (</w:t>
      </w:r>
      <w:r w:rsidRPr="00F71E44">
        <w:rPr>
          <w:rFonts w:asciiTheme="majorBidi" w:hAnsiTheme="majorBidi" w:cstheme="majorBidi"/>
          <w:b/>
          <w:bCs/>
          <w:sz w:val="24"/>
          <w:szCs w:val="24"/>
        </w:rPr>
        <w:t>E.L.U.</w:t>
      </w:r>
      <w:r>
        <w:rPr>
          <w:rFonts w:asciiTheme="majorBidi" w:hAnsiTheme="majorBidi" w:cstheme="majorBidi"/>
          <w:sz w:val="24"/>
          <w:szCs w:val="24"/>
        </w:rPr>
        <w:t>)</w:t>
      </w:r>
    </w:p>
    <w:p w:rsidR="00752AAB" w:rsidRDefault="00752AAB" w:rsidP="00752AAB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F71E44">
        <w:rPr>
          <w:rFonts w:asciiTheme="majorBidi" w:hAnsiTheme="majorBidi" w:cstheme="majorBidi"/>
          <w:sz w:val="24"/>
          <w:szCs w:val="24"/>
        </w:rPr>
        <w:t>- les états limites de service (</w:t>
      </w:r>
      <w:r w:rsidRPr="00F71E44">
        <w:rPr>
          <w:rFonts w:asciiTheme="majorBidi" w:hAnsiTheme="majorBidi" w:cstheme="majorBidi"/>
          <w:b/>
          <w:bCs/>
          <w:sz w:val="24"/>
          <w:szCs w:val="24"/>
        </w:rPr>
        <w:t>E.L.S.</w:t>
      </w:r>
      <w:r w:rsidRPr="00F71E44">
        <w:rPr>
          <w:rFonts w:asciiTheme="majorBidi" w:hAnsiTheme="majorBidi" w:cstheme="majorBidi"/>
          <w:sz w:val="24"/>
          <w:szCs w:val="24"/>
        </w:rPr>
        <w:t>)</w:t>
      </w:r>
    </w:p>
    <w:p w:rsidR="00752AAB" w:rsidRPr="00B87E9C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a) </w:t>
      </w:r>
      <w:r w:rsidRPr="00B87E9C">
        <w:rPr>
          <w:rFonts w:asciiTheme="majorBidi" w:hAnsiTheme="majorBidi" w:cstheme="majorBidi"/>
          <w:b/>
          <w:bCs/>
          <w:sz w:val="24"/>
          <w:szCs w:val="24"/>
        </w:rPr>
        <w:t xml:space="preserve">États-limites ultimes (E.L.U.) : </w:t>
      </w:r>
      <w:r w:rsidRPr="00B87E9C">
        <w:rPr>
          <w:rFonts w:asciiTheme="majorBidi" w:hAnsiTheme="majorBidi" w:cstheme="majorBidi"/>
          <w:sz w:val="24"/>
          <w:szCs w:val="24"/>
        </w:rPr>
        <w:t>Il y a effondrement de la structure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87E9C">
        <w:rPr>
          <w:rFonts w:asciiTheme="majorBidi" w:hAnsiTheme="majorBidi" w:cstheme="majorBidi"/>
          <w:sz w:val="24"/>
          <w:szCs w:val="24"/>
        </w:rPr>
        <w:t xml:space="preserve">ou </w:t>
      </w:r>
      <w:r w:rsidRPr="00B87E9C">
        <w:rPr>
          <w:rFonts w:asciiTheme="majorBidi" w:eastAsia="Garamond-Identity-H" w:hAnsiTheme="majorBidi" w:cstheme="majorBidi"/>
          <w:sz w:val="24"/>
          <w:szCs w:val="24"/>
        </w:rPr>
        <w:t xml:space="preserve">d’autres </w:t>
      </w:r>
      <w:r w:rsidRPr="00B87E9C">
        <w:rPr>
          <w:rFonts w:asciiTheme="majorBidi" w:hAnsiTheme="majorBidi" w:cstheme="majorBidi"/>
          <w:sz w:val="24"/>
          <w:szCs w:val="24"/>
        </w:rPr>
        <w:t xml:space="preserve">formes de ruine structurale au-delà de ces états </w:t>
      </w:r>
      <w:r w:rsidRPr="00B87E9C">
        <w:rPr>
          <w:rFonts w:asciiTheme="majorBidi" w:eastAsia="Garamond,Bold-Identity-H" w:hAnsiTheme="majorBidi" w:cstheme="majorBidi"/>
          <w:b/>
          <w:bCs/>
          <w:sz w:val="24"/>
          <w:szCs w:val="24"/>
        </w:rPr>
        <w:t xml:space="preserve">→ </w:t>
      </w:r>
      <w:r>
        <w:rPr>
          <w:rFonts w:asciiTheme="majorBidi" w:hAnsiTheme="majorBidi" w:cstheme="majorBidi"/>
          <w:sz w:val="24"/>
          <w:szCs w:val="24"/>
        </w:rPr>
        <w:t xml:space="preserve">Sécurité </w:t>
      </w:r>
      <w:r w:rsidRPr="00B87E9C">
        <w:rPr>
          <w:rFonts w:asciiTheme="majorBidi" w:hAnsiTheme="majorBidi" w:cstheme="majorBidi"/>
          <w:sz w:val="24"/>
          <w:szCs w:val="24"/>
        </w:rPr>
        <w:t>des biens et des personnes.</w:t>
      </w:r>
    </w:p>
    <w:p w:rsidR="00752AAB" w:rsidRPr="00B87E9C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eastAsia="Garamond-Identity-H" w:hAnsiTheme="majorBidi" w:cstheme="majorBidi"/>
          <w:sz w:val="24"/>
          <w:szCs w:val="24"/>
        </w:rPr>
        <w:t xml:space="preserve">b) </w:t>
      </w:r>
      <w:r w:rsidRPr="00B87E9C">
        <w:rPr>
          <w:rFonts w:asciiTheme="majorBidi" w:hAnsiTheme="majorBidi" w:cstheme="majorBidi"/>
          <w:b/>
          <w:bCs/>
          <w:sz w:val="24"/>
          <w:szCs w:val="24"/>
        </w:rPr>
        <w:t xml:space="preserve">États-limites de service (E.L.S.): </w:t>
      </w:r>
      <w:r w:rsidRPr="00B87E9C">
        <w:rPr>
          <w:rFonts w:asciiTheme="majorBidi" w:hAnsiTheme="majorBidi" w:cstheme="majorBidi"/>
          <w:sz w:val="24"/>
          <w:szCs w:val="24"/>
        </w:rPr>
        <w:t>I</w:t>
      </w:r>
      <w:r>
        <w:rPr>
          <w:rFonts w:asciiTheme="majorBidi" w:hAnsiTheme="majorBidi" w:cstheme="majorBidi"/>
          <w:sz w:val="24"/>
          <w:szCs w:val="24"/>
        </w:rPr>
        <w:t xml:space="preserve">ls correspondent à des critères </w:t>
      </w:r>
      <w:r w:rsidRPr="00B87E9C">
        <w:rPr>
          <w:rFonts w:asciiTheme="majorBidi" w:hAnsiTheme="majorBidi" w:cstheme="majorBidi"/>
          <w:sz w:val="24"/>
          <w:szCs w:val="24"/>
        </w:rPr>
        <w:t xml:space="preserve">dont le non-respect ne permet pas à </w:t>
      </w:r>
      <w:r w:rsidRPr="00B87E9C">
        <w:rPr>
          <w:rFonts w:asciiTheme="majorBidi" w:eastAsia="Garamond-Identity-H" w:hAnsiTheme="majorBidi" w:cstheme="majorBidi"/>
          <w:sz w:val="24"/>
          <w:szCs w:val="24"/>
        </w:rPr>
        <w:t xml:space="preserve">l’élément d’être </w:t>
      </w:r>
      <w:r>
        <w:rPr>
          <w:rFonts w:asciiTheme="majorBidi" w:hAnsiTheme="majorBidi" w:cstheme="majorBidi"/>
          <w:sz w:val="24"/>
          <w:szCs w:val="24"/>
        </w:rPr>
        <w:t xml:space="preserve">exploité dans des </w:t>
      </w:r>
      <w:r w:rsidRPr="00B87E9C">
        <w:rPr>
          <w:rFonts w:asciiTheme="majorBidi" w:hAnsiTheme="majorBidi" w:cstheme="majorBidi"/>
          <w:sz w:val="24"/>
          <w:szCs w:val="24"/>
        </w:rPr>
        <w:t>conditions satisfaisantes, ou compromet</w:t>
      </w:r>
      <w:r>
        <w:rPr>
          <w:rFonts w:asciiTheme="majorBidi" w:hAnsiTheme="majorBidi" w:cstheme="majorBidi"/>
          <w:sz w:val="24"/>
          <w:szCs w:val="24"/>
        </w:rPr>
        <w:t xml:space="preserve"> sa durabilité. (</w:t>
      </w:r>
      <w:proofErr w:type="gramStart"/>
      <w:r>
        <w:rPr>
          <w:rFonts w:asciiTheme="majorBidi" w:hAnsiTheme="majorBidi" w:cstheme="majorBidi"/>
          <w:sz w:val="24"/>
          <w:szCs w:val="24"/>
        </w:rPr>
        <w:t>limitation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des </w:t>
      </w:r>
      <w:r w:rsidRPr="00B87E9C">
        <w:rPr>
          <w:rFonts w:asciiTheme="majorBidi" w:hAnsiTheme="majorBidi" w:cstheme="majorBidi"/>
          <w:sz w:val="24"/>
          <w:szCs w:val="24"/>
        </w:rPr>
        <w:t xml:space="preserve">flèches, de la fissuration du béton </w:t>
      </w:r>
      <w:r w:rsidRPr="00B87E9C">
        <w:rPr>
          <w:rFonts w:asciiTheme="majorBidi" w:eastAsia="Garamond-Identity-H" w:hAnsiTheme="majorBidi" w:cstheme="majorBidi"/>
          <w:sz w:val="24"/>
          <w:szCs w:val="24"/>
        </w:rPr>
        <w:t>…</w:t>
      </w:r>
      <w:r w:rsidRPr="00B87E9C">
        <w:rPr>
          <w:rFonts w:asciiTheme="majorBidi" w:hAnsiTheme="majorBidi" w:cstheme="majorBidi"/>
          <w:sz w:val="24"/>
          <w:szCs w:val="24"/>
        </w:rPr>
        <w:t>)</w:t>
      </w:r>
    </w:p>
    <w:p w:rsidR="00752AAB" w:rsidRPr="00B87E9C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B87E9C">
        <w:rPr>
          <w:rFonts w:asciiTheme="majorBidi" w:hAnsiTheme="majorBidi" w:cstheme="majorBidi"/>
          <w:sz w:val="24"/>
          <w:szCs w:val="24"/>
        </w:rPr>
        <w:t xml:space="preserve">Un E.L.U. est atteint lorsque </w:t>
      </w:r>
      <w:r w:rsidRPr="00B87E9C">
        <w:rPr>
          <w:rFonts w:asciiTheme="majorBidi" w:eastAsia="Garamond-Identity-H" w:hAnsiTheme="majorBidi" w:cstheme="majorBidi"/>
          <w:sz w:val="24"/>
          <w:szCs w:val="24"/>
        </w:rPr>
        <w:t xml:space="preserve">l’on </w:t>
      </w:r>
      <w:r w:rsidRPr="00B87E9C">
        <w:rPr>
          <w:rFonts w:asciiTheme="majorBidi" w:hAnsiTheme="majorBidi" w:cstheme="majorBidi"/>
          <w:sz w:val="24"/>
          <w:szCs w:val="24"/>
        </w:rPr>
        <w:t>constate :</w:t>
      </w:r>
    </w:p>
    <w:p w:rsidR="00752AAB" w:rsidRPr="00B87E9C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eastAsia="Garamond-Identity-H" w:hAnsiTheme="majorBidi" w:cstheme="majorBidi"/>
          <w:sz w:val="24"/>
          <w:szCs w:val="24"/>
        </w:rPr>
      </w:pPr>
      <w:r w:rsidRPr="00B87E9C">
        <w:rPr>
          <w:rFonts w:asciiTheme="majorBidi" w:hAnsiTheme="majorBidi" w:cstheme="majorBidi"/>
          <w:sz w:val="24"/>
          <w:szCs w:val="24"/>
        </w:rPr>
        <w:t xml:space="preserve">- une perte </w:t>
      </w:r>
      <w:r w:rsidRPr="00B87E9C">
        <w:rPr>
          <w:rFonts w:asciiTheme="majorBidi" w:eastAsia="Garamond-Identity-H" w:hAnsiTheme="majorBidi" w:cstheme="majorBidi"/>
          <w:sz w:val="24"/>
          <w:szCs w:val="24"/>
        </w:rPr>
        <w:t>d’équilibre,</w:t>
      </w:r>
    </w:p>
    <w:p w:rsidR="00752AAB" w:rsidRPr="00B87E9C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B87E9C">
        <w:rPr>
          <w:rFonts w:asciiTheme="majorBidi" w:hAnsiTheme="majorBidi" w:cstheme="majorBidi"/>
          <w:sz w:val="24"/>
          <w:szCs w:val="24"/>
        </w:rPr>
        <w:t>- une instabilité de forme,</w:t>
      </w:r>
    </w:p>
    <w:p w:rsidR="00752AAB" w:rsidRPr="00B87E9C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eastAsia="Garamond-Identity-H" w:hAnsiTheme="majorBidi" w:cstheme="majorBidi"/>
          <w:sz w:val="24"/>
          <w:szCs w:val="24"/>
        </w:rPr>
      </w:pPr>
      <w:r w:rsidRPr="00B87E9C">
        <w:rPr>
          <w:rFonts w:asciiTheme="majorBidi" w:hAnsiTheme="majorBidi" w:cstheme="majorBidi"/>
          <w:sz w:val="24"/>
          <w:szCs w:val="24"/>
        </w:rPr>
        <w:t xml:space="preserve">- une rupture </w:t>
      </w:r>
      <w:r w:rsidRPr="00B87E9C">
        <w:rPr>
          <w:rFonts w:asciiTheme="majorBidi" w:eastAsia="Garamond-Identity-H" w:hAnsiTheme="majorBidi" w:cstheme="majorBidi"/>
          <w:sz w:val="24"/>
          <w:szCs w:val="24"/>
        </w:rPr>
        <w:t>d’élément,</w:t>
      </w:r>
    </w:p>
    <w:p w:rsidR="00752AAB" w:rsidRPr="00B87E9C" w:rsidRDefault="00752AAB" w:rsidP="00752AAB">
      <w:pPr>
        <w:autoSpaceDE w:val="0"/>
        <w:autoSpaceDN w:val="0"/>
        <w:adjustRightInd w:val="0"/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B87E9C">
        <w:rPr>
          <w:rFonts w:asciiTheme="majorBidi" w:hAnsiTheme="majorBidi" w:cstheme="majorBidi"/>
          <w:sz w:val="24"/>
          <w:szCs w:val="24"/>
        </w:rPr>
        <w:t>- une déformation plastique exagérée</w:t>
      </w:r>
    </w:p>
    <w:p w:rsidR="00752AAB" w:rsidRDefault="00DA63B1" w:rsidP="00752AAB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8F0161">
        <w:rPr>
          <w:rFonts w:asciiTheme="majorBidi" w:hAnsiTheme="majorBidi" w:cstheme="majorBidi"/>
          <w:i/>
          <w:iCs/>
          <w:noProof/>
          <w:sz w:val="24"/>
          <w:szCs w:val="24"/>
          <w:lang w:eastAsia="fr-FR"/>
        </w:rPr>
        <w:drawing>
          <wp:anchor distT="0" distB="0" distL="114300" distR="114300" simplePos="0" relativeHeight="251664384" behindDoc="0" locked="0" layoutInCell="1" allowOverlap="1" wp14:anchorId="2C4377DB" wp14:editId="3359CCA9">
            <wp:simplePos x="0" y="0"/>
            <wp:positionH relativeFrom="column">
              <wp:posOffset>1014730</wp:posOffset>
            </wp:positionH>
            <wp:positionV relativeFrom="paragraph">
              <wp:posOffset>265430</wp:posOffset>
            </wp:positionV>
            <wp:extent cx="3669665" cy="2753360"/>
            <wp:effectExtent l="0" t="0" r="6985" b="889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AAB" w:rsidRPr="00B87E9C">
        <w:rPr>
          <w:rFonts w:asciiTheme="majorBidi" w:hAnsiTheme="majorBidi" w:cstheme="majorBidi"/>
          <w:sz w:val="24"/>
          <w:szCs w:val="24"/>
        </w:rPr>
        <w:t>- etc.</w:t>
      </w:r>
    </w:p>
    <w:p w:rsidR="00752AAB" w:rsidRDefault="00752AAB" w:rsidP="00752AAB">
      <w:pPr>
        <w:spacing w:line="276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752AAB" w:rsidRDefault="00752AAB" w:rsidP="00752AAB">
      <w:pPr>
        <w:spacing w:line="276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752AAB" w:rsidRDefault="00752AAB" w:rsidP="00752AAB">
      <w:pPr>
        <w:spacing w:line="276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752AAB" w:rsidRDefault="00752AAB" w:rsidP="00752AAB">
      <w:pPr>
        <w:spacing w:line="276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752AAB" w:rsidRDefault="00752AAB" w:rsidP="00752AAB">
      <w:pPr>
        <w:spacing w:line="276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752AAB" w:rsidRDefault="00752AAB" w:rsidP="00752AAB">
      <w:pPr>
        <w:spacing w:line="276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752AAB" w:rsidRDefault="00752AAB" w:rsidP="00752AAB">
      <w:pPr>
        <w:spacing w:line="276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752AAB" w:rsidRDefault="00752AAB" w:rsidP="00752AAB">
      <w:pPr>
        <w:spacing w:line="276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752AAB" w:rsidRDefault="00752AAB" w:rsidP="00752AAB">
      <w:pPr>
        <w:spacing w:line="276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752AAB" w:rsidRPr="00752AAB" w:rsidRDefault="00752AAB">
      <w:pPr>
        <w:rPr>
          <w:sz w:val="24"/>
          <w:szCs w:val="24"/>
        </w:rPr>
      </w:pPr>
    </w:p>
    <w:sectPr w:rsidR="00752AAB" w:rsidRPr="00752A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,Bold-Identity-H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Garamond-Identity-H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-Identity-H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Bold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B925D2"/>
    <w:multiLevelType w:val="hybridMultilevel"/>
    <w:tmpl w:val="2414A090"/>
    <w:lvl w:ilvl="0" w:tplc="92C4173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A6D"/>
    <w:rsid w:val="00444A6D"/>
    <w:rsid w:val="0063130B"/>
    <w:rsid w:val="00752AAB"/>
    <w:rsid w:val="00DA63B1"/>
    <w:rsid w:val="00F27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D80800-E96D-415E-9C2B-9CC25BCF9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52A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754</Words>
  <Characters>4148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bibibnfo</dc:creator>
  <cp:keywords/>
  <dc:description/>
  <cp:lastModifiedBy>bibibnfo</cp:lastModifiedBy>
  <cp:revision>2</cp:revision>
  <dcterms:created xsi:type="dcterms:W3CDTF">2023-05-11T15:01:00Z</dcterms:created>
  <dcterms:modified xsi:type="dcterms:W3CDTF">2023-05-11T15:01:00Z</dcterms:modified>
</cp:coreProperties>
</file>