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AA" w:rsidRPr="00162525" w:rsidRDefault="00162525" w:rsidP="00162525">
      <w:pPr>
        <w:pStyle w:val="NormalWeb"/>
        <w:bidi/>
        <w:spacing w:line="360" w:lineRule="auto"/>
        <w:jc w:val="both"/>
        <w:rPr>
          <w:b/>
          <w:bCs/>
          <w:sz w:val="32"/>
          <w:szCs w:val="32"/>
        </w:rPr>
      </w:pPr>
      <w:r w:rsidRPr="00162525">
        <w:rPr>
          <w:rStyle w:val="rynqvb"/>
          <w:rFonts w:hint="cs"/>
          <w:b/>
          <w:bCs/>
          <w:sz w:val="32"/>
          <w:szCs w:val="32"/>
          <w:rtl/>
        </w:rPr>
        <w:t>علم البلورات</w:t>
      </w:r>
      <w:bookmarkStart w:id="0" w:name="_GoBack"/>
      <w:bookmarkEnd w:id="0"/>
      <w:r w:rsidRPr="00162525">
        <w:rPr>
          <w:rStyle w:val="rynqvb"/>
          <w:rFonts w:hint="cs"/>
          <w:b/>
          <w:bCs/>
          <w:sz w:val="32"/>
          <w:szCs w:val="32"/>
          <w:rtl/>
        </w:rPr>
        <w:t xml:space="preserve"> الفيزيائية</w:t>
      </w:r>
      <w:r w:rsidR="00BF35AA" w:rsidRPr="00162525">
        <w:rPr>
          <w:b/>
          <w:bCs/>
          <w:sz w:val="32"/>
          <w:szCs w:val="32"/>
        </w:rPr>
        <w:t>(D123)</w:t>
      </w:r>
    </w:p>
    <w:p w:rsidR="00BF35AA" w:rsidRDefault="00BF35AA" w:rsidP="00162525">
      <w:pPr>
        <w:pStyle w:val="NormalWeb"/>
        <w:bidi/>
        <w:spacing w:line="360" w:lineRule="auto"/>
        <w:jc w:val="both"/>
        <w:rPr>
          <w:rtl/>
        </w:rPr>
      </w:pPr>
      <w:r w:rsidRPr="00BF35AA">
        <w:rPr>
          <w:rFonts w:hint="cs"/>
          <w:b/>
          <w:bCs/>
          <w:sz w:val="28"/>
          <w:szCs w:val="28"/>
          <w:rtl/>
          <w:lang w:bidi="ar-DZ"/>
        </w:rPr>
        <w:t>الفصل</w:t>
      </w:r>
      <w:r w:rsidRPr="00BF35AA">
        <w:rPr>
          <w:b/>
          <w:bCs/>
          <w:sz w:val="28"/>
          <w:szCs w:val="28"/>
          <w:rtl/>
        </w:rPr>
        <w:t xml:space="preserve"> الأول</w:t>
      </w:r>
      <w:r>
        <w:rPr>
          <w:rtl/>
        </w:rPr>
        <w:t>- المقدمة</w:t>
      </w:r>
    </w:p>
    <w:p w:rsidR="00BF35AA" w:rsidRDefault="00BF35AA" w:rsidP="00162525">
      <w:pPr>
        <w:pStyle w:val="NormalWeb"/>
        <w:bidi/>
        <w:spacing w:line="360" w:lineRule="auto"/>
        <w:jc w:val="both"/>
      </w:pPr>
      <w:r>
        <w:rPr>
          <w:rtl/>
        </w:rPr>
        <w:t xml:space="preserve"> تعريف الحالة البلورية</w:t>
      </w:r>
      <w:r>
        <w:t xml:space="preserve">. </w:t>
      </w:r>
      <w:r>
        <w:rPr>
          <w:rtl/>
        </w:rPr>
        <w:t>الشبكات ا: و</w:t>
      </w:r>
      <w:r>
        <w:rPr>
          <w:rFonts w:hint="cs"/>
          <w:rtl/>
        </w:rPr>
        <w:t>ص</w:t>
      </w:r>
      <w:r>
        <w:rPr>
          <w:rtl/>
        </w:rPr>
        <w:t xml:space="preserve">ف الشبكة. </w:t>
      </w:r>
      <w:proofErr w:type="spellStart"/>
      <w:r>
        <w:rPr>
          <w:rFonts w:hint="cs"/>
          <w:rtl/>
        </w:rPr>
        <w:t>الاتجهاتو</w:t>
      </w:r>
      <w:proofErr w:type="spellEnd"/>
      <w:r>
        <w:rPr>
          <w:rFonts w:hint="cs"/>
          <w:rtl/>
        </w:rPr>
        <w:t xml:space="preserve"> المستويات البلورية</w:t>
      </w:r>
      <w:r>
        <w:rPr>
          <w:rtl/>
        </w:rPr>
        <w:t xml:space="preserve">. </w:t>
      </w:r>
      <w:r>
        <w:rPr>
          <w:rFonts w:hint="cs"/>
          <w:rtl/>
          <w:lang w:bidi="ar-DZ"/>
        </w:rPr>
        <w:t>قرائن</w:t>
      </w:r>
      <w:r>
        <w:rPr>
          <w:rtl/>
        </w:rPr>
        <w:t xml:space="preserve"> ميلر</w:t>
      </w:r>
      <w:r>
        <w:t xml:space="preserve">. </w:t>
      </w:r>
      <w:r>
        <w:rPr>
          <w:rtl/>
        </w:rPr>
        <w:t>الشبكة الم</w:t>
      </w:r>
      <w:r>
        <w:rPr>
          <w:rFonts w:hint="cs"/>
          <w:rtl/>
        </w:rPr>
        <w:t>عكوسة</w:t>
      </w:r>
      <w:r>
        <w:rPr>
          <w:rtl/>
        </w:rPr>
        <w:t xml:space="preserve">: التعريف: بعض الخصائص والعلاقات مع معلمات الشبكة المباشرة. </w:t>
      </w:r>
    </w:p>
    <w:p w:rsidR="00BF35AA" w:rsidRDefault="00BF35AA" w:rsidP="00162525">
      <w:pPr>
        <w:pStyle w:val="NormalWeb"/>
        <w:bidi/>
        <w:spacing w:line="360" w:lineRule="auto"/>
        <w:jc w:val="both"/>
        <w:rPr>
          <w:rtl/>
        </w:rPr>
      </w:pPr>
      <w:r w:rsidRPr="00BF35AA">
        <w:rPr>
          <w:rFonts w:hint="cs"/>
          <w:sz w:val="28"/>
          <w:szCs w:val="28"/>
          <w:rtl/>
          <w:lang w:bidi="ar-DZ"/>
        </w:rPr>
        <w:t>الفصل</w:t>
      </w:r>
      <w:r w:rsidRPr="00BF35AA">
        <w:rPr>
          <w:sz w:val="28"/>
          <w:szCs w:val="28"/>
          <w:rtl/>
        </w:rPr>
        <w:t>الثاني</w:t>
      </w:r>
      <w:r>
        <w:rPr>
          <w:rtl/>
        </w:rPr>
        <w:t xml:space="preserve">- تناظر الأشكال المحدودة </w:t>
      </w:r>
      <w:r>
        <w:rPr>
          <w:rFonts w:hint="cs"/>
          <w:rtl/>
        </w:rPr>
        <w:t>و</w:t>
      </w:r>
      <w:r>
        <w:rPr>
          <w:rtl/>
        </w:rPr>
        <w:t>عمليات التناظر:</w:t>
      </w:r>
    </w:p>
    <w:p w:rsidR="00BF35AA" w:rsidRDefault="00BF35AA" w:rsidP="00162525">
      <w:pPr>
        <w:pStyle w:val="NormalWeb"/>
        <w:bidi/>
        <w:spacing w:line="360" w:lineRule="auto"/>
        <w:jc w:val="both"/>
      </w:pPr>
      <w:r>
        <w:rPr>
          <w:rtl/>
        </w:rPr>
        <w:t xml:space="preserve"> الانعكاس، الدوران، الاستدارة، الانعكاس الدوراني، الاستدارة الدورانية. مفاهيم النقاط المعادلة</w:t>
      </w:r>
      <w:r>
        <w:t>.</w:t>
      </w:r>
    </w:p>
    <w:p w:rsidR="00BF35AA" w:rsidRDefault="00BF35AA" w:rsidP="00162525">
      <w:pPr>
        <w:pStyle w:val="NormalWeb"/>
        <w:bidi/>
        <w:spacing w:line="360" w:lineRule="auto"/>
        <w:jc w:val="both"/>
        <w:rPr>
          <w:rtl/>
        </w:rPr>
      </w:pPr>
      <w:r w:rsidRPr="00BF35AA">
        <w:rPr>
          <w:rFonts w:hint="cs"/>
          <w:sz w:val="28"/>
          <w:szCs w:val="28"/>
          <w:rtl/>
          <w:lang w:bidi="ar-DZ"/>
        </w:rPr>
        <w:t>الفصل</w:t>
      </w:r>
      <w:r w:rsidRPr="00BF35AA">
        <w:rPr>
          <w:sz w:val="28"/>
          <w:szCs w:val="28"/>
          <w:rtl/>
        </w:rPr>
        <w:t xml:space="preserve"> الثالث</w:t>
      </w:r>
      <w:r>
        <w:rPr>
          <w:rtl/>
        </w:rPr>
        <w:t xml:space="preserve"> - تناظر الشبكات - شبكات برافي</w:t>
      </w:r>
    </w:p>
    <w:p w:rsidR="00BF35AA" w:rsidRDefault="00BF35AA" w:rsidP="00162525">
      <w:pPr>
        <w:pStyle w:val="NormalWeb"/>
        <w:bidi/>
        <w:spacing w:line="360" w:lineRule="auto"/>
        <w:jc w:val="both"/>
      </w:pPr>
      <w:r>
        <w:rPr>
          <w:rtl/>
        </w:rPr>
        <w:t xml:space="preserve"> أنظمة بلورية. أنواع مختلفة من الشبكات. الشبكات الرئيسية الأربع عشرة </w:t>
      </w:r>
      <w:proofErr w:type="spellStart"/>
      <w:r>
        <w:rPr>
          <w:rtl/>
        </w:rPr>
        <w:t>لبرافي</w:t>
      </w:r>
      <w:proofErr w:type="spellEnd"/>
      <w:r>
        <w:rPr>
          <w:rtl/>
        </w:rPr>
        <w:t>. عدم توافق بعض أوامر محاور الدوران مع الشبكات. بعض العلاقات الهندسية في الشبكات</w:t>
      </w:r>
      <w:r>
        <w:t>.</w:t>
      </w:r>
    </w:p>
    <w:p w:rsidR="00BF35AA" w:rsidRDefault="00BF35AA" w:rsidP="00162525">
      <w:pPr>
        <w:pStyle w:val="NormalWeb"/>
        <w:bidi/>
        <w:spacing w:line="360" w:lineRule="auto"/>
        <w:jc w:val="both"/>
        <w:rPr>
          <w:rtl/>
        </w:rPr>
      </w:pPr>
      <w:r w:rsidRPr="00BF35AA">
        <w:rPr>
          <w:rFonts w:hint="cs"/>
          <w:b/>
          <w:bCs/>
          <w:sz w:val="28"/>
          <w:szCs w:val="28"/>
          <w:rtl/>
          <w:lang w:bidi="ar-DZ"/>
        </w:rPr>
        <w:t>الفصل</w:t>
      </w:r>
      <w:r w:rsidRPr="00BF35AA">
        <w:rPr>
          <w:b/>
          <w:bCs/>
          <w:sz w:val="28"/>
          <w:szCs w:val="28"/>
          <w:rtl/>
        </w:rPr>
        <w:t xml:space="preserve"> الرابع</w:t>
      </w:r>
      <w:r>
        <w:rPr>
          <w:rtl/>
        </w:rPr>
        <w:t>- ال</w:t>
      </w:r>
      <w:r>
        <w:rPr>
          <w:rFonts w:hint="cs"/>
          <w:rtl/>
        </w:rPr>
        <w:t>طرق</w:t>
      </w:r>
      <w:r>
        <w:rPr>
          <w:rtl/>
        </w:rPr>
        <w:t xml:space="preserve"> التجريبية لانكسار الضوء</w:t>
      </w:r>
    </w:p>
    <w:p w:rsidR="00BF35AA" w:rsidRDefault="00BF35AA" w:rsidP="00162525">
      <w:pPr>
        <w:pStyle w:val="NormalWeb"/>
        <w:bidi/>
        <w:spacing w:line="360" w:lineRule="auto"/>
        <w:jc w:val="both"/>
      </w:pPr>
      <w:r>
        <w:rPr>
          <w:rtl/>
        </w:rPr>
        <w:t xml:space="preserve"> شروط الانكسار. قانون براغ. معادلة فون لاو</w:t>
      </w:r>
      <w:r>
        <w:rPr>
          <w:rFonts w:hint="cs"/>
          <w:rtl/>
        </w:rPr>
        <w:t>ي</w:t>
      </w:r>
      <w:r>
        <w:rPr>
          <w:rtl/>
        </w:rPr>
        <w:t xml:space="preserve">. </w:t>
      </w:r>
      <w:r w:rsidR="00162525">
        <w:rPr>
          <w:rStyle w:val="rynqvb"/>
          <w:rFonts w:hint="cs"/>
          <w:rtl/>
        </w:rPr>
        <w:t xml:space="preserve">بناء </w:t>
      </w:r>
      <w:proofErr w:type="spellStart"/>
      <w:r w:rsidR="00162525">
        <w:rPr>
          <w:rStyle w:val="rynqvb"/>
          <w:rFonts w:hint="cs"/>
          <w:rtl/>
        </w:rPr>
        <w:t>ايوالد</w:t>
      </w:r>
      <w:proofErr w:type="spellEnd"/>
      <w:r>
        <w:rPr>
          <w:rtl/>
        </w:rPr>
        <w:t>. طرق مختلفة لانكسار الضوء: طريقة ل</w:t>
      </w:r>
      <w:r>
        <w:rPr>
          <w:rFonts w:hint="cs"/>
          <w:rtl/>
        </w:rPr>
        <w:t>ا</w:t>
      </w:r>
      <w:r>
        <w:rPr>
          <w:rtl/>
        </w:rPr>
        <w:t>و</w:t>
      </w:r>
      <w:r>
        <w:rPr>
          <w:rFonts w:hint="cs"/>
          <w:rtl/>
        </w:rPr>
        <w:t>ي</w:t>
      </w:r>
      <w:r>
        <w:rPr>
          <w:rtl/>
        </w:rPr>
        <w:t xml:space="preserve">. طريقة </w:t>
      </w:r>
      <w:proofErr w:type="spellStart"/>
      <w:r>
        <w:rPr>
          <w:rtl/>
        </w:rPr>
        <w:t>ديبي</w:t>
      </w:r>
      <w:proofErr w:type="spellEnd"/>
      <w:r>
        <w:rPr>
          <w:rtl/>
        </w:rPr>
        <w:t>-</w:t>
      </w:r>
      <w:proofErr w:type="spellStart"/>
      <w:r>
        <w:rPr>
          <w:rtl/>
        </w:rPr>
        <w:t>شيرر</w:t>
      </w:r>
      <w:proofErr w:type="spellEnd"/>
      <w:r>
        <w:rPr>
          <w:rtl/>
        </w:rPr>
        <w:t xml:space="preserve">. طريقة البلورة الدوارة. طريقة </w:t>
      </w:r>
      <w:proofErr w:type="spellStart"/>
      <w:r>
        <w:rPr>
          <w:rtl/>
        </w:rPr>
        <w:t>وايسنبرغ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ديفراكتومتر</w:t>
      </w:r>
      <w:proofErr w:type="spellEnd"/>
      <w:r>
        <w:t>.</w:t>
      </w:r>
    </w:p>
    <w:p w:rsidR="00BF35AA" w:rsidRDefault="00BF35AA" w:rsidP="00162525">
      <w:pPr>
        <w:pStyle w:val="NormalWeb"/>
        <w:bidi/>
        <w:spacing w:line="360" w:lineRule="auto"/>
        <w:jc w:val="both"/>
        <w:rPr>
          <w:rtl/>
        </w:rPr>
      </w:pPr>
      <w:r w:rsidRPr="00BF35AA">
        <w:rPr>
          <w:rFonts w:hint="cs"/>
          <w:sz w:val="28"/>
          <w:szCs w:val="28"/>
          <w:rtl/>
          <w:lang w:bidi="ar-DZ"/>
        </w:rPr>
        <w:t>الفصل</w:t>
      </w:r>
      <w:r w:rsidRPr="00BF35AA">
        <w:rPr>
          <w:sz w:val="28"/>
          <w:szCs w:val="28"/>
          <w:rtl/>
        </w:rPr>
        <w:t>الخامس</w:t>
      </w:r>
      <w:r>
        <w:rPr>
          <w:rtl/>
        </w:rPr>
        <w:t>- الروابط الكيميائية</w:t>
      </w:r>
    </w:p>
    <w:p w:rsidR="00162525" w:rsidRDefault="00BF35AA" w:rsidP="00162525">
      <w:pPr>
        <w:pStyle w:val="NormalWeb"/>
        <w:bidi/>
        <w:spacing w:line="360" w:lineRule="auto"/>
        <w:jc w:val="both"/>
        <w:rPr>
          <w:rtl/>
        </w:rPr>
      </w:pPr>
      <w:r>
        <w:rPr>
          <w:rtl/>
        </w:rPr>
        <w:t xml:space="preserve"> معلومات عامة حول الروابط الكيميائية. الهياكل المستقرة والطاقة الداخلية. الروابط المختلفة في البلورات: قوى الجذب، </w:t>
      </w:r>
      <w:r w:rsidR="00162525">
        <w:rPr>
          <w:rFonts w:hint="cs"/>
          <w:rtl/>
        </w:rPr>
        <w:t>1-</w:t>
      </w:r>
      <w:r>
        <w:rPr>
          <w:rtl/>
        </w:rPr>
        <w:t xml:space="preserve">الروابط القوية - </w:t>
      </w:r>
      <w:r w:rsidR="00162525">
        <w:rPr>
          <w:rStyle w:val="rynqvb"/>
          <w:rFonts w:hint="cs"/>
          <w:rtl/>
        </w:rPr>
        <w:t xml:space="preserve">روابط التكافؤ، </w:t>
      </w:r>
      <w:r>
        <w:rPr>
          <w:rtl/>
        </w:rPr>
        <w:t xml:space="preserve">الروابط الأيونية. الروابط التساهمية. الروابط المعدنية. </w:t>
      </w:r>
      <w:r w:rsidR="00162525">
        <w:rPr>
          <w:rStyle w:val="rynqvb"/>
          <w:rFonts w:hint="cs"/>
          <w:rtl/>
        </w:rPr>
        <w:t>التفاعل الأيوني ثنائي القطب</w:t>
      </w:r>
      <w:r>
        <w:t>.</w:t>
      </w:r>
    </w:p>
    <w:p w:rsidR="00BF35AA" w:rsidRDefault="00162525" w:rsidP="00162525">
      <w:pPr>
        <w:pStyle w:val="NormalWeb"/>
        <w:bidi/>
        <w:spacing w:line="360" w:lineRule="auto"/>
        <w:jc w:val="both"/>
      </w:pPr>
      <w:r>
        <w:rPr>
          <w:rFonts w:hint="cs"/>
          <w:rtl/>
        </w:rPr>
        <w:t>2-</w:t>
      </w:r>
      <w:r>
        <w:rPr>
          <w:rtl/>
        </w:rPr>
        <w:t xml:space="preserve">الروابط الضعيفة - الروابط </w:t>
      </w:r>
      <w:proofErr w:type="spellStart"/>
      <w:r>
        <w:rPr>
          <w:rtl/>
        </w:rPr>
        <w:t>فان</w:t>
      </w:r>
      <w:r w:rsidR="00BF35AA">
        <w:rPr>
          <w:rtl/>
        </w:rPr>
        <w:t>در</w:t>
      </w:r>
      <w:proofErr w:type="spellEnd"/>
      <w:r w:rsidR="00BF35AA">
        <w:rPr>
          <w:rtl/>
        </w:rPr>
        <w:t xml:space="preserve"> </w:t>
      </w:r>
      <w:proofErr w:type="spellStart"/>
      <w:r w:rsidR="00BF35AA">
        <w:rPr>
          <w:rtl/>
        </w:rPr>
        <w:t>فولز</w:t>
      </w:r>
      <w:proofErr w:type="spellEnd"/>
      <w:r w:rsidR="00BF35AA">
        <w:rPr>
          <w:rtl/>
        </w:rPr>
        <w:t>. الروابط بنقل الشحنة. الروابط الهيدروجينية. قوى ال</w:t>
      </w:r>
      <w:r>
        <w:rPr>
          <w:rFonts w:hint="cs"/>
          <w:rtl/>
        </w:rPr>
        <w:t>تنافر</w:t>
      </w:r>
    </w:p>
    <w:p w:rsidR="00D35637" w:rsidRDefault="00D35637" w:rsidP="00162525">
      <w:pPr>
        <w:bidi/>
        <w:spacing w:line="360" w:lineRule="auto"/>
        <w:jc w:val="both"/>
      </w:pPr>
    </w:p>
    <w:sectPr w:rsidR="00D35637" w:rsidSect="000A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AA"/>
    <w:rsid w:val="000A18B4"/>
    <w:rsid w:val="00162525"/>
    <w:rsid w:val="004B169F"/>
    <w:rsid w:val="00BF35AA"/>
    <w:rsid w:val="00D3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ynqvb">
    <w:name w:val="rynqvb"/>
    <w:basedOn w:val="Policepardfaut"/>
    <w:rsid w:val="00162525"/>
  </w:style>
  <w:style w:type="character" w:customStyle="1" w:styleId="hwtze">
    <w:name w:val="hwtze"/>
    <w:basedOn w:val="Policepardfaut"/>
    <w:rsid w:val="00162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 TAIBECHE</dc:creator>
  <cp:lastModifiedBy>MAISON XP</cp:lastModifiedBy>
  <cp:revision>2</cp:revision>
  <dcterms:created xsi:type="dcterms:W3CDTF">2023-11-16T20:50:00Z</dcterms:created>
  <dcterms:modified xsi:type="dcterms:W3CDTF">2023-11-16T20:50:00Z</dcterms:modified>
</cp:coreProperties>
</file>