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51" w:rsidRPr="00F16479" w:rsidRDefault="001B1851" w:rsidP="001B185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F1647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قائمة المصادر والمراجع:</w:t>
      </w:r>
    </w:p>
    <w:p w:rsidR="001B1851" w:rsidRDefault="001B1851" w:rsidP="001B1851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1B1851" w:rsidRPr="00F16479" w:rsidRDefault="001B1851" w:rsidP="001B1851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حسين خمري </w:t>
      </w:r>
      <w:proofErr w:type="spellStart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سرديات</w:t>
      </w:r>
      <w:proofErr w:type="spellEnd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النقد في تحليل آليات الخطاب النقدي المعاصر، ، دار الأمان، الرباط، 1432ه  ، ط 1، 2011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حامدي صدام،أسس بناء المنهج عند أنور الجندي كتاب’أخطاء المنهج الغربي الوافد’ نموذجا،رسالة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ماستر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،كلية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الاداب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واللغات جامعة قاصدي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مرباح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ورقلة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>،سنة2015/2016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  <w:lang w:bidi="ar-DZ"/>
        </w:rPr>
        <w:t>ابن منظور:لسان العرب،مجلد6، مادة"نهج" ،دار الجيل،بيروت،لبنان،د،ط ،1988م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B1851" w:rsidRPr="00F16479" w:rsidRDefault="001B1851" w:rsidP="001B1851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ابراهيم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مصطفى وآخرون:</w:t>
      </w: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المعجم الوسيط،دار العودة،تركية،مصر،ط2، 1972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يوسف الخياط:معجم المصطلحات العلمية والفنية،عربي/إنجليزي/فرنسي/لاتين</w:t>
      </w:r>
      <w:r>
        <w:rPr>
          <w:rFonts w:ascii="Simplified Arabic" w:hAnsi="Simplified Arabic" w:cs="Simplified Arabic"/>
          <w:sz w:val="32"/>
          <w:szCs w:val="32"/>
          <w:rtl/>
        </w:rPr>
        <w:t>ي،دار لسان العرب،بيروت،د،ط ،د،ت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مجدي وهبة:معجم مصطلحات الأدب: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نجليزي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>/فرنسي/عربي، مكتبة لبنان،بيروت،د،ط ،1984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معجم الوجيز:مجمع اللغة العربية،القاهرة،1989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  <w:lang w:bidi="ar-DZ"/>
        </w:rPr>
        <w:t>ثامر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فاضل:اللغة الثانية( في إشكالية المنهج والنظرية  والمصطلح في الخطاب النقدي العربي الحديث)،المركز الثقافي العربي،بيروت،المغرب،ط1، 1994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F16479">
        <w:rPr>
          <w:rFonts w:ascii="Simplified Arabic" w:eastAsia="Calibri" w:hAnsi="Simplified Arabic" w:cs="Simplified Arabic"/>
          <w:color w:val="000000"/>
          <w:sz w:val="32"/>
          <w:szCs w:val="32"/>
        </w:rPr>
        <w:t>Dictionnaire encyclopédique Larousse, librairie Larousse, paris, édition 1979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صلاح فضل:مناهج النقد المعاصر،ميريت للنشر والمعلومات،القاهرة،مصر،ط1، 2002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F16479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/>
        </w:rPr>
        <w:t>عبدالرحمان</w:t>
      </w:r>
      <w:proofErr w:type="spellEnd"/>
      <w:r w:rsidRPr="00F16479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/>
        </w:rPr>
        <w:t xml:space="preserve"> بدوي: مناهج البحث العلمي،وكالة المطبوعات،الكويت، ط 3،1977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/>
        </w:rPr>
        <w:t>.</w:t>
      </w:r>
      <w:r w:rsidRPr="00F16479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/>
        </w:rPr>
        <w:t xml:space="preserve"> </w:t>
      </w:r>
      <w:r w:rsidRPr="00F16479">
        <w:rPr>
          <w:rFonts w:ascii="Simplified Arabic" w:eastAsia="Calibri" w:hAnsi="Simplified Arabic" w:cs="Simplified Arabic"/>
          <w:sz w:val="32"/>
          <w:szCs w:val="32"/>
          <w:rtl/>
          <w:lang w:val="en-US"/>
        </w:rPr>
        <w:t xml:space="preserve"> 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F16479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/>
        </w:rPr>
        <w:t xml:space="preserve">محمد </w:t>
      </w:r>
      <w:proofErr w:type="spellStart"/>
      <w:r w:rsidRPr="00F16479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/>
        </w:rPr>
        <w:t>محمد</w:t>
      </w:r>
      <w:proofErr w:type="spellEnd"/>
      <w:r w:rsidRPr="00F16479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/>
        </w:rPr>
        <w:t xml:space="preserve"> قاسم: المدخل إلى مناهج البحث العلمي، دار النهضة العربية، بيروت،ط1، 1999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عباس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  <w:lang w:bidi="ar-DZ"/>
        </w:rPr>
        <w:t>الجراري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  <w:lang w:bidi="ar-DZ"/>
        </w:rPr>
        <w:t>:خطاب المنهج، منشورات الهلال العربية للطباعة،الرباط المغرب،ط2، 1995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مناهج النقد المعاصر، صلاح فضل، دار الأفاق العربية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ا</w:t>
      </w: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لمدخل إلى مناهج النقد المعاصر، بسام </w:t>
      </w:r>
      <w:proofErr w:type="spellStart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قطوس</w:t>
      </w:r>
      <w:proofErr w:type="spellEnd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، دار الوفاء ل يند ا الطباعة و النشر، الإسكندرية، ط 1م،2006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ا</w:t>
      </w: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لمدخل إلى مناهج النقد المعاصر، بسام </w:t>
      </w:r>
      <w:proofErr w:type="spellStart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قطوس</w:t>
      </w:r>
      <w:proofErr w:type="spellEnd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، دار الوفاء ل يند ا الطباعة و النشر، الإسكندرية، ط 1م،2006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صلاح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فضل،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بلاغة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الخطاب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وعلم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النص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عالم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المعرفة،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العدد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164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،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</w:t>
      </w:r>
      <w:r w:rsidRPr="00F16479">
        <w:rPr>
          <w:rFonts w:ascii="Simplified Arabic" w:hAnsi="Simplified Arabic" w:cs="Simplified Arabic"/>
          <w:sz w:val="32"/>
          <w:szCs w:val="32"/>
          <w:rtl/>
        </w:rPr>
        <w:t>غشت</w:t>
      </w:r>
      <w:r w:rsidRPr="00F16479">
        <w:rPr>
          <w:rFonts w:ascii="Simplified Arabic" w:hAnsi="Simplified Arabic" w:cs="Simplified Arabic"/>
          <w:sz w:val="32"/>
          <w:szCs w:val="32"/>
        </w:rPr>
        <w:t xml:space="preserve"> 1992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6"/>
        <w:numPr>
          <w:ilvl w:val="0"/>
          <w:numId w:val="4"/>
        </w:numPr>
        <w:bidi/>
        <w:spacing w:line="240" w:lineRule="auto"/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</w:pPr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ابن منظور، لسان العرب، تحقيق مجموعة مـن الأسـاتذة، دار صـادر، بيـروت، ط3 ،</w:t>
      </w:r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t xml:space="preserve">1994/1414 </w:t>
      </w:r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،ج</w:t>
      </w:r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t>7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الفرا</w:t>
      </w:r>
      <w:proofErr w:type="spellEnd"/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ھیدي، كتاب العین، دار الكتب العلمیة، بیروت، لبنان، ط1 ،2003 ،ج4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أحمد رضا، معجم متن اللغة، منشورات دار مكتبة الحياة، بيروت، لبنان، ،</w:t>
      </w:r>
      <w:r w:rsidRPr="00F16479">
        <w:rPr>
          <w:rFonts w:ascii="Simplified Arabic" w:hAnsi="Simplified Arabic" w:cs="Simplified Arabic"/>
          <w:color w:val="000000"/>
          <w:sz w:val="32"/>
          <w:szCs w:val="32"/>
        </w:rPr>
        <w:t>1960/1380</w:t>
      </w: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،ج </w:t>
      </w:r>
      <w:r w:rsidRPr="00F16479">
        <w:rPr>
          <w:rFonts w:ascii="Simplified Arabic" w:hAnsi="Simplified Arabic" w:cs="Simplified Arabic"/>
          <w:color w:val="000000"/>
          <w:sz w:val="32"/>
          <w:szCs w:val="32"/>
        </w:rPr>
        <w:t>5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6"/>
        <w:numPr>
          <w:ilvl w:val="0"/>
          <w:numId w:val="4"/>
        </w:numPr>
        <w:bidi/>
        <w:spacing w:line="240" w:lineRule="auto"/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</w:pPr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السيد أحمد عبد الغفار، التصور اللغوي عند الأصـوليين، مكتبـات عكـاظ للنشـر، الإسـكندرية، ط،</w:t>
      </w:r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t>1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و محمد توفيق محمد سعد، دلالة الألفاظ عند الأصوليين، مطبعة الأمانة، مصر، القاهرة، ط1</w:t>
      </w:r>
      <w:r w:rsidRPr="00F16479">
        <w:rPr>
          <w:rFonts w:ascii="Simplified Arabic" w:hAnsi="Simplified Arabic" w:cs="Simplified Arabic"/>
          <w:color w:val="000000"/>
          <w:sz w:val="32"/>
          <w:szCs w:val="32"/>
        </w:rPr>
        <w:t xml:space="preserve">1407 </w:t>
      </w: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،هــ</w:t>
      </w:r>
      <w:r w:rsidRPr="00F16479">
        <w:rPr>
          <w:rFonts w:ascii="Simplified Arabic" w:hAnsi="Simplified Arabic" w:cs="Simplified Arabic"/>
          <w:color w:val="000000"/>
          <w:sz w:val="32"/>
          <w:szCs w:val="32"/>
        </w:rPr>
        <w:t>/1987</w:t>
      </w:r>
      <w:r w:rsidRPr="00F16479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محمد مفتاح، التشابه والاختلاف، المركز الثقافي العربي، الدار البيضاء\بيروت، ط،1 ،1996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محمد مفتاح، تحليل الخطاب الشعري: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استراتيجية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التناص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>، المركز الثقافي العربي، البيضاء/ بيروت، ط،3 ،1992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محمد عزام، النص الغائب: تجليات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التناص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في الشعر العربي، منشورات اتحاد الكتاب العرب، دمشق، 2001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>طه عبد الرحمان، في أصول الحوار و تجديد علم الكلام، المركز الثقافي العربي، الدار البيضاء، ط،2 ،2000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lastRenderedPageBreak/>
        <w:t>سعيد يقطين: انفتاح النص الروائي: النص و السياق، المركز الثقافي العربي، الدار البيضاء/ بيروت، ط2، 2001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أحمد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اليبوري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دينامية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النص الروائي، منشور</w:t>
      </w:r>
      <w:r>
        <w:rPr>
          <w:rFonts w:ascii="Simplified Arabic" w:hAnsi="Simplified Arabic" w:cs="Simplified Arabic"/>
          <w:sz w:val="32"/>
          <w:szCs w:val="32"/>
          <w:rtl/>
        </w:rPr>
        <w:t>ات اتحاد كتاب المغرب، ط،1 ،1993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رولان بارت، درس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السيمولوجيا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، ترجمة: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بنعبدالعالي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، دار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توبقال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للنشر، ط،3 ،1993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حسين خمري، نظرية النص من بنية المعنى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سيمائية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الدال، منشورات الاختلاف و الدار العربية للعلوم ناشرون، ط،1 ،2007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يسري نوفل، المعايير النصية في السور القرآنية، دار النابغة للنشر والتوزيع، ط،1 ،2014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محمد خطابي، لسانيات النص: مدخل إلى انسجام الخطاب،، المركز الثقافي العربي، بيروت، الدار البيضاء، ط،1 ،1991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جوليا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كريستيفا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، علم النص، ترجمة: فؤاد الزاهي، دار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توبقال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للنشر، المغرب، ط،2 .1997.</w:t>
      </w:r>
    </w:p>
    <w:p w:rsidR="001B1851" w:rsidRPr="00F16479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عبد القادر بقشي، </w:t>
      </w:r>
      <w:proofErr w:type="spellStart"/>
      <w:r w:rsidRPr="00F16479">
        <w:rPr>
          <w:rFonts w:ascii="Simplified Arabic" w:hAnsi="Simplified Arabic" w:cs="Simplified Arabic"/>
          <w:sz w:val="32"/>
          <w:szCs w:val="32"/>
          <w:rtl/>
        </w:rPr>
        <w:t>التناص</w:t>
      </w:r>
      <w:proofErr w:type="spellEnd"/>
      <w:r w:rsidRPr="00F16479">
        <w:rPr>
          <w:rFonts w:ascii="Simplified Arabic" w:hAnsi="Simplified Arabic" w:cs="Simplified Arabic"/>
          <w:sz w:val="32"/>
          <w:szCs w:val="32"/>
          <w:rtl/>
        </w:rPr>
        <w:t xml:space="preserve"> في الخطاب النقدي والبلاغي، إفريقيا الشرق، المغرب، ط،1 ،2007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B1851" w:rsidRPr="00226213" w:rsidRDefault="001B1851" w:rsidP="001B1851">
      <w:pPr>
        <w:pStyle w:val="a6"/>
        <w:numPr>
          <w:ilvl w:val="0"/>
          <w:numId w:val="4"/>
        </w:numPr>
        <w:bidi/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</w:pPr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حسين خمري </w:t>
      </w:r>
      <w:proofErr w:type="spellStart"/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سرديات</w:t>
      </w:r>
      <w:proofErr w:type="spellEnd"/>
      <w:r w:rsidRPr="00F1647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النقد في تحليل آليات الخطاب النقدي المعاصر ، دار الأمان، الرباط، ط1 ، 1432ه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1B1851" w:rsidRPr="00226213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ابن منظور: لسان العرب، مادة(جنس،) </w:t>
      </w:r>
      <w:proofErr w:type="spellStart"/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تح</w:t>
      </w:r>
      <w:proofErr w:type="spellEnd"/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: عبد الله علي الكبير، (د ط،) دار المعارف، مصر، ،1986.</w:t>
      </w:r>
    </w:p>
    <w:p w:rsidR="001B1851" w:rsidRPr="00226213" w:rsidRDefault="001B1851" w:rsidP="001B1851">
      <w:pPr>
        <w:pStyle w:val="a6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الزبيدي</w:t>
      </w:r>
      <w:proofErr w:type="spellEnd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: تاج العروس من جواهر القاموس، </w:t>
      </w:r>
      <w:proofErr w:type="spellStart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تح</w:t>
      </w:r>
      <w:proofErr w:type="spellEnd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: على </w:t>
      </w:r>
      <w:proofErr w:type="spellStart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شيري</w:t>
      </w:r>
      <w:proofErr w:type="spellEnd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 (د ط)، دار الفكر للطباعة والنشر، بيروت، لبنان، ،</w:t>
      </w:r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t>2005</w:t>
      </w:r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1B1851" w:rsidRPr="00226213" w:rsidRDefault="001B1851" w:rsidP="001B1851">
      <w:pPr>
        <w:pStyle w:val="a6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جميل </w:t>
      </w:r>
      <w:proofErr w:type="spellStart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حمداوي</w:t>
      </w:r>
      <w:proofErr w:type="spellEnd"/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 نظرية الأجناس الأدبية(نحو تصور جديد للتجنيس الأدبي)، إفريقيا الشرق، (د ط)، الدار البيضاء،المغرب، ،</w:t>
      </w:r>
      <w:r w:rsidRPr="00226213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t>.2015</w:t>
      </w:r>
    </w:p>
    <w:p w:rsidR="001B1851" w:rsidRPr="00226213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محمد مندور: الأدب وفنونه. دار النهضة مصر للطباعة والنشر، </w:t>
      </w:r>
      <w:proofErr w:type="spellStart"/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الفجالة</w:t>
      </w:r>
      <w:proofErr w:type="spellEnd"/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، مصر، د.ط، 1996م</w:t>
      </w:r>
      <w:r w:rsidRPr="00226213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1B1851" w:rsidRPr="00226213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جميل </w:t>
      </w:r>
      <w:proofErr w:type="spellStart"/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حمداوي</w:t>
      </w:r>
      <w:proofErr w:type="spellEnd"/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: القصة القصيرة وإشكالية التجنيس، ط ،1دار الريف للطبع والنشر، المغرب،</w:t>
      </w:r>
      <w:r w:rsidRPr="00226213">
        <w:rPr>
          <w:rFonts w:ascii="Simplified Arabic" w:hAnsi="Simplified Arabic" w:cs="Simplified Arabic"/>
          <w:color w:val="000000"/>
          <w:sz w:val="32"/>
          <w:szCs w:val="32"/>
        </w:rPr>
        <w:t>.2016</w:t>
      </w:r>
    </w:p>
    <w:p w:rsidR="001B1851" w:rsidRPr="00226213" w:rsidRDefault="001B1851" w:rsidP="001B1851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6213">
        <w:rPr>
          <w:rStyle w:val="a4"/>
          <w:rFonts w:ascii="Simplified Arabic" w:hAnsi="Simplified Arabic" w:cs="Simplified Arabic"/>
          <w:sz w:val="32"/>
          <w:szCs w:val="32"/>
        </w:rPr>
        <w:footnoteRef/>
      </w:r>
      <w:r w:rsidRPr="00226213">
        <w:rPr>
          <w:rFonts w:ascii="Simplified Arabic" w:hAnsi="Simplified Arabic" w:cs="Simplified Arabic"/>
          <w:sz w:val="32"/>
          <w:szCs w:val="32"/>
        </w:rPr>
        <w:t xml:space="preserve"> </w:t>
      </w:r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محمد القاضي: الخبر في الأدب العربي، دراسة في السردية العربية، ط ،</w:t>
      </w:r>
      <w:r w:rsidRPr="00226213">
        <w:rPr>
          <w:rFonts w:ascii="Simplified Arabic" w:hAnsi="Simplified Arabic" w:cs="Simplified Arabic"/>
          <w:color w:val="000000"/>
          <w:sz w:val="32"/>
          <w:szCs w:val="32"/>
        </w:rPr>
        <w:t>1</w:t>
      </w:r>
      <w:r w:rsidRPr="00226213">
        <w:rPr>
          <w:rFonts w:ascii="Simplified Arabic" w:hAnsi="Simplified Arabic" w:cs="Simplified Arabic"/>
          <w:color w:val="000000"/>
          <w:sz w:val="32"/>
          <w:szCs w:val="32"/>
          <w:rtl/>
        </w:rPr>
        <w:t>منشورات كلية الأدب، ص27</w:t>
      </w:r>
      <w:r w:rsidRPr="00226213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1B1851" w:rsidRPr="00226213" w:rsidRDefault="001B1851" w:rsidP="001B1851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</w:p>
    <w:p w:rsidR="00CC0DBC" w:rsidRDefault="00CC0DBC"/>
    <w:sectPr w:rsidR="00CC0DBC" w:rsidSect="00AA655F">
      <w:footerReference w:type="default" r:id="rId5"/>
      <w:footerReference w:type="first" r:id="rId6"/>
      <w:pgSz w:w="11906" w:h="16838"/>
      <w:pgMar w:top="1417" w:right="1417" w:bottom="1702" w:left="1417" w:header="708" w:footer="29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9407"/>
      <w:docPartObj>
        <w:docPartGallery w:val="Page Numbers (Bottom of Page)"/>
        <w:docPartUnique/>
      </w:docPartObj>
    </w:sdtPr>
    <w:sdtEndPr/>
    <w:sdtContent>
      <w:p w:rsidR="00CE5626" w:rsidRDefault="001B18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1851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39239F" w:rsidRDefault="001B18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9F" w:rsidRDefault="001B1851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0EA5">
      <w:rPr>
        <w:rFonts w:cs="Calibri"/>
        <w:noProof/>
        <w:rtl/>
        <w:lang w:val="ar-SA"/>
      </w:rPr>
      <w:t>3</w:t>
    </w:r>
    <w:r>
      <w:fldChar w:fldCharType="end"/>
    </w:r>
  </w:p>
  <w:p w:rsidR="0039239F" w:rsidRDefault="001B1851">
    <w:pPr>
      <w:pStyle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72D"/>
    <w:multiLevelType w:val="hybridMultilevel"/>
    <w:tmpl w:val="05D647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2D2"/>
    <w:multiLevelType w:val="hybridMultilevel"/>
    <w:tmpl w:val="DC4A91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77E00"/>
    <w:multiLevelType w:val="hybridMultilevel"/>
    <w:tmpl w:val="7D128B6E"/>
    <w:lvl w:ilvl="0" w:tplc="A2FAD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1FA5"/>
    <w:multiLevelType w:val="hybridMultilevel"/>
    <w:tmpl w:val="5B9AB7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851"/>
    <w:rsid w:val="001B1851"/>
    <w:rsid w:val="00CC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1B185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1B1851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1B1851"/>
    <w:rPr>
      <w:vertAlign w:val="superscript"/>
    </w:rPr>
  </w:style>
  <w:style w:type="paragraph" w:customStyle="1" w:styleId="1">
    <w:name w:val="1"/>
    <w:basedOn w:val="a"/>
    <w:next w:val="a5"/>
    <w:link w:val="Char0"/>
    <w:uiPriority w:val="99"/>
    <w:unhideWhenUsed/>
    <w:rsid w:val="001B1851"/>
    <w:pPr>
      <w:tabs>
        <w:tab w:val="center" w:pos="4153"/>
        <w:tab w:val="right" w:pos="8306"/>
      </w:tabs>
      <w:bidi/>
      <w:spacing w:after="0" w:line="240" w:lineRule="auto"/>
      <w:jc w:val="lowKashida"/>
    </w:pPr>
    <w:rPr>
      <w:sz w:val="28"/>
      <w:szCs w:val="32"/>
    </w:rPr>
  </w:style>
  <w:style w:type="character" w:customStyle="1" w:styleId="Char0">
    <w:name w:val="تذييل الصفحة Char"/>
    <w:link w:val="1"/>
    <w:uiPriority w:val="99"/>
    <w:rsid w:val="001B1851"/>
    <w:rPr>
      <w:sz w:val="28"/>
      <w:szCs w:val="32"/>
    </w:rPr>
  </w:style>
  <w:style w:type="paragraph" w:styleId="a5">
    <w:name w:val="footer"/>
    <w:basedOn w:val="a"/>
    <w:link w:val="Char1"/>
    <w:uiPriority w:val="99"/>
    <w:unhideWhenUsed/>
    <w:rsid w:val="001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1B1851"/>
  </w:style>
  <w:style w:type="paragraph" w:styleId="a6">
    <w:name w:val="List Paragraph"/>
    <w:basedOn w:val="a"/>
    <w:uiPriority w:val="34"/>
    <w:qFormat/>
    <w:rsid w:val="001B1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MICROSTAR</dc:creator>
  <cp:lastModifiedBy>MICROSTAR</cp:lastModifiedBy>
  <cp:revision>1</cp:revision>
  <dcterms:created xsi:type="dcterms:W3CDTF">2024-01-12T19:14:00Z</dcterms:created>
  <dcterms:modified xsi:type="dcterms:W3CDTF">2024-01-12T19:15:00Z</dcterms:modified>
</cp:coreProperties>
</file>