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DF" w:rsidRDefault="00CA55DF" w:rsidP="0003147C">
      <w:pPr>
        <w:bidi/>
      </w:pPr>
    </w:p>
    <w:p w:rsidR="0003147C" w:rsidRPr="00EE255F" w:rsidRDefault="0003147C" w:rsidP="0003147C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السادسة</w:t>
      </w:r>
    </w:p>
    <w:p w:rsidR="0003147C" w:rsidRDefault="0003147C" w:rsidP="0003147C">
      <w:pPr>
        <w:tabs>
          <w:tab w:val="left" w:pos="2429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803F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المحور الثالث: مصادر علم العقاب </w:t>
      </w:r>
    </w:p>
    <w:p w:rsidR="0003147C" w:rsidRDefault="0003147C" w:rsidP="0003147C">
      <w:pPr>
        <w:tabs>
          <w:tab w:val="left" w:pos="2429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803FC">
        <w:rPr>
          <w:rFonts w:ascii="Simplified Arabic" w:hAnsi="Simplified Arabic" w:cs="Simplified Arabic"/>
          <w:sz w:val="28"/>
          <w:szCs w:val="28"/>
          <w:rtl/>
          <w:lang w:bidi="ar-DZ"/>
        </w:rPr>
        <w:t>تنقسم مصادر علم العقاب إلى مصدرين أساسين هما</w:t>
      </w:r>
      <w:r w:rsidRPr="004C5FC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C5FC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المصدر الداخلي أو الوطني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المصدر الخار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جي أو كما يعرف بالمصدر الدولي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التي سنتطرق إليها فيما يلي</w:t>
      </w:r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: </w:t>
      </w:r>
    </w:p>
    <w:p w:rsidR="0003147C" w:rsidRPr="000803FC" w:rsidRDefault="0003147C" w:rsidP="0003147C">
      <w:pPr>
        <w:tabs>
          <w:tab w:val="left" w:pos="2429"/>
        </w:tabs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803F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المصادر الداخلية لقواعد التنفيذ العقابي في التشريع الجزائري</w:t>
      </w:r>
      <w:r w:rsidRPr="000803F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03147C" w:rsidRDefault="0003147C" w:rsidP="0003147C">
      <w:pPr>
        <w:tabs>
          <w:tab w:val="left" w:pos="2429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نجد أن المصادر الداخلية توزعت بين عد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قوانين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وضعية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قانون العقوبات،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قانون الإجراءات الجنائ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كذلك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تشريع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بيد أن بعض الدول اتجهت إلى نظام توحيد قواعد علم العقاب، أي ضم كل قواعد التنفيذ العقابي في مدونة واحدة، و هو اتجاه محمود يرجع الفضل في المناداة به إلى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تسربوليو</w:t>
      </w:r>
      <w:proofErr w:type="spellEnd"/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AE7D1B">
        <w:rPr>
          <w:rFonts w:ascii="Simplified Arabic" w:hAnsi="Simplified Arabic" w:cs="Simplified Arabic"/>
          <w:sz w:val="28"/>
          <w:szCs w:val="28"/>
          <w:lang w:bidi="ar-DZ"/>
        </w:rPr>
        <w:t>zerboglio</w:t>
      </w:r>
      <w:proofErr w:type="spellEnd"/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في ايطاليا تحت تأثير مبادئ المدرسة الوضعية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وقد لاقت هذه الدعوة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قبولا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لدى بعض التشريعات. ومنها قانون العمل العقابي الصادر في اتحاد الجمهوريات السوفييتية السابق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أكتوبر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1924، 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الذي تم تعديله في أول شهر أوت من عام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1933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منظما أساليب العمل العقابي ما قام به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جوزيف </w:t>
      </w:r>
      <w:proofErr w:type="spellStart"/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مانويل</w:t>
      </w:r>
      <w:proofErr w:type="spellEnd"/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Magnol joseph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مؤتمر قانون العقوبات الذي انعقد في باليرمو بايطاليا عام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1933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قام هذا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بتقديم مشروع متكامل لقانون التنفيذ العقابي، ضمن الكتاب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 مجمو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عة من القواعد العامة التي تحكم تنفيذ الجزاء الجنائي،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تضمن الكتاب الثاني قواعد تنفيذ العقوب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ات،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خصص الكتاب الثالث لتنفيذ التدابير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الاحترازية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ثم خصص الكتاب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المشروع لبيان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لقواعد التي تطبق بعد العقوبات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التدابير</w:t>
      </w:r>
      <w:r w:rsidRPr="00AE7D1B">
        <w:rPr>
          <w:rFonts w:ascii="Simplified Arabic" w:hAnsi="Simplified Arabic" w:cs="Simplified Arabic"/>
          <w:sz w:val="28"/>
          <w:szCs w:val="28"/>
          <w:lang w:bidi="ar-DZ"/>
        </w:rPr>
        <w:t>."</w:t>
      </w:r>
    </w:p>
    <w:p w:rsidR="0003147C" w:rsidRDefault="0003147C" w:rsidP="0003147C">
      <w:pPr>
        <w:tabs>
          <w:tab w:val="left" w:pos="2429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03147C" w:rsidRPr="00D21050" w:rsidRDefault="0003147C" w:rsidP="0003147C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2105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المصادر الخارجية لقواعد التنفيذ العقابي</w:t>
      </w:r>
      <w:r w:rsidRPr="00D210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03147C" w:rsidRDefault="0003147C" w:rsidP="0003147C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القول أن "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هذه المصادر تشمل 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افة التشريعات المتعلقة بتحديد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تنفيذ الجزاء الجنائي في الدول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، ولا تخفى أهميتها في مجال المقارنة بينها 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بين النظم العقابية الوطنية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 بين المصادر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كذلك القواعد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المعلومات التي يتم تبادلها في المؤتمرات الدولية التي تعقد لمناقشة المشا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كل المتعلقة بالسياسة الجنائية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المعاملة العقابية كذلك القواعد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التي تصدر عن المنظمات الدولية والمتعلقة بمعاملة المسجونين،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للمشرع الوطني أن يسترشد أيضا بما جاء في توصيات اللجنة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الأوروبية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بالمسائل الجنائية، كأحد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لجان المتفرعة عن مجلس أوروبا. و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نشير بصفة خاصة إلى ما جاء بالتوصية رقم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>87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Pr="00AE7D1B"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الصادرة عن لجنة الوزراء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فيفري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1987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والمتضمنة مجموعة القواعد</w:t>
      </w:r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AE7D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العقابية </w:t>
      </w:r>
      <w:r w:rsidRPr="00AE7D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الأوروبية</w:t>
      </w:r>
      <w:r w:rsidRPr="00AE7D1B">
        <w:rPr>
          <w:rFonts w:ascii="Simplified Arabic" w:hAnsi="Simplified Arabic" w:cs="Simplified Arabic"/>
          <w:sz w:val="28"/>
          <w:szCs w:val="28"/>
          <w:lang w:bidi="ar-DZ"/>
        </w:rPr>
        <w:t xml:space="preserve"> ."</w:t>
      </w:r>
    </w:p>
    <w:p w:rsidR="0003147C" w:rsidRPr="0003147C" w:rsidRDefault="0003147C" w:rsidP="0003147C">
      <w:pPr>
        <w:bidi/>
      </w:pPr>
    </w:p>
    <w:sectPr w:rsidR="0003147C" w:rsidRPr="0003147C" w:rsidSect="00CA5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3147C"/>
    <w:rsid w:val="0003147C"/>
    <w:rsid w:val="00CA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PCCLINIC</dc:creator>
  <cp:lastModifiedBy>PCCLINIC</cp:lastModifiedBy>
  <cp:revision>1</cp:revision>
  <dcterms:created xsi:type="dcterms:W3CDTF">2024-04-16T09:05:00Z</dcterms:created>
  <dcterms:modified xsi:type="dcterms:W3CDTF">2024-04-16T09:05:00Z</dcterms:modified>
</cp:coreProperties>
</file>