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405DAC"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620EB8" w:rsidP="003A52F6">
                  <w:pPr>
                    <w:pStyle w:val="a5"/>
                    <w:bidi/>
                    <w:spacing w:before="0" w:beforeAutospacing="0" w:after="0" w:afterAutospacing="0" w:line="276" w:lineRule="auto"/>
                    <w:jc w:val="center"/>
                    <w:rPr>
                      <w:sz w:val="18"/>
                      <w:szCs w:val="18"/>
                    </w:rPr>
                  </w:pPr>
                  <w:r w:rsidRPr="003A52F6">
                    <w:rPr>
                      <w:rFonts w:ascii="Calibri" w:hAnsi="Sakkal Majalla" w:cs="Sakkal Majalla" w:hint="cs"/>
                      <w:b/>
                      <w:bCs/>
                      <w:color w:val="000000" w:themeColor="text1"/>
                      <w:kern w:val="24"/>
                      <w:rtl/>
                      <w:lang w:bidi="ar-DZ"/>
                    </w:rPr>
                    <w:t xml:space="preserve">الأستاذ: </w:t>
                  </w:r>
                  <w:r>
                    <w:rPr>
                      <w:rFonts w:ascii="Calibri" w:hAnsi="Sakkal Majalla" w:cs="Sakkal Majalla" w:hint="cs"/>
                      <w:b/>
                      <w:bCs/>
                      <w:color w:val="000000" w:themeColor="text1"/>
                      <w:kern w:val="24"/>
                      <w:rtl/>
                      <w:lang w:bidi="ar-DZ"/>
                    </w:rPr>
                    <w:t>قاوي</w:t>
                  </w:r>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US" w:eastAsia="en-US"/>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r w:rsidR="00881D7E">
                    <w:rPr>
                      <w:rFonts w:ascii="Amiri" w:hAnsi="Amiri" w:cs="Amiri" w:hint="cs"/>
                      <w:b/>
                      <w:bCs/>
                      <w:color w:val="000000" w:themeColor="text1"/>
                      <w:kern w:val="24"/>
                      <w:sz w:val="20"/>
                      <w:szCs w:val="20"/>
                      <w:rtl/>
                      <w:lang w:bidi="ar-DZ"/>
                    </w:rPr>
                    <w:t>ماستر 1 قانون إداري</w:t>
                  </w:r>
                </w:p>
                <w:p w:rsidR="00923181" w:rsidRPr="003A52F6" w:rsidRDefault="00923181" w:rsidP="00881D7E">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السداسي:</w:t>
                  </w:r>
                  <w:r w:rsidR="00881D7E">
                    <w:rPr>
                      <w:rFonts w:ascii="Amiri" w:hAnsi="Amiri" w:cs="Amiri" w:hint="cs"/>
                      <w:b/>
                      <w:bCs/>
                      <w:color w:val="000000" w:themeColor="text1"/>
                      <w:kern w:val="24"/>
                      <w:sz w:val="20"/>
                      <w:szCs w:val="20"/>
                      <w:rtl/>
                      <w:lang w:bidi="ar-DZ"/>
                    </w:rPr>
                    <w:t>الثاني</w:t>
                  </w:r>
                  <w:r w:rsidRPr="003A52F6">
                    <w:rPr>
                      <w:rFonts w:ascii="Amiri" w:hAnsi="Amiri" w:cs="Amiri"/>
                      <w:b/>
                      <w:bCs/>
                      <w:color w:val="000000" w:themeColor="text1"/>
                      <w:kern w:val="24"/>
                      <w:sz w:val="20"/>
                      <w:szCs w:val="20"/>
                      <w:rtl/>
                      <w:lang w:bidi="ar-DZ"/>
                    </w:rPr>
                    <w:t xml:space="preserve"> </w:t>
                  </w:r>
                </w:p>
                <w:p w:rsidR="00622E8D"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881D7E">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الحجم الساعي:</w:t>
                  </w:r>
                  <w:r w:rsidR="00881D7E">
                    <w:rPr>
                      <w:rFonts w:ascii="Amiri" w:hAnsi="Amiri" w:cs="Amiri" w:hint="cs"/>
                      <w:b/>
                      <w:bCs/>
                      <w:color w:val="000000" w:themeColor="text1"/>
                      <w:kern w:val="24"/>
                      <w:sz w:val="20"/>
                      <w:szCs w:val="20"/>
                      <w:rtl/>
                      <w:lang w:bidi="ar-DZ"/>
                    </w:rPr>
                    <w:t>ساعة ونصف</w:t>
                  </w:r>
                  <w:r w:rsidR="00622E8D">
                    <w:rPr>
                      <w:rFonts w:ascii="Amiri" w:hAnsi="Amiri" w:cs="Amiri" w:hint="cs"/>
                      <w:b/>
                      <w:bCs/>
                      <w:color w:val="000000" w:themeColor="text1"/>
                      <w:kern w:val="24"/>
                      <w:sz w:val="20"/>
                      <w:szCs w:val="20"/>
                      <w:rtl/>
                      <w:lang w:bidi="ar-DZ"/>
                    </w:rPr>
                    <w:t xml:space="preserve"> </w:t>
                  </w:r>
                  <w:r w:rsidRPr="003A52F6">
                    <w:rPr>
                      <w:rFonts w:ascii="Amiri" w:hAnsi="Amiri" w:cs="Amiri"/>
                      <w:b/>
                      <w:bCs/>
                      <w:color w:val="000000" w:themeColor="text1"/>
                      <w:kern w:val="24"/>
                      <w:sz w:val="20"/>
                      <w:szCs w:val="20"/>
                      <w:rtl/>
                      <w:lang w:bidi="ar-DZ"/>
                    </w:rPr>
                    <w:t>أسبوعيا</w:t>
                  </w:r>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 اللأفواج</w:t>
                  </w:r>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405DAC"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9B6673" w:rsidRDefault="003A52F6" w:rsidP="00881D7E">
      <w:pPr>
        <w:pStyle w:val="a3"/>
        <w:bidi/>
        <w:spacing w:after="0" w:line="240" w:lineRule="auto"/>
        <w:ind w:left="1080"/>
        <w:jc w:val="lowKashida"/>
        <w:rPr>
          <w:rFonts w:ascii="Traditional Arabic" w:hAnsi="Traditional Arabic" w:cs="Traditional Arabic"/>
          <w:sz w:val="36"/>
          <w:szCs w:val="36"/>
          <w:lang w:bidi="ar-DZ"/>
        </w:rPr>
      </w:pPr>
      <w:r w:rsidRPr="003A52F6">
        <w:rPr>
          <w:rFonts w:ascii="Amiri" w:eastAsia="Times New Roman" w:hAnsi="Amiri" w:cs="Amiri"/>
          <w:b/>
          <w:bCs/>
          <w:color w:val="FF0000"/>
          <w:kern w:val="24"/>
          <w:sz w:val="32"/>
          <w:szCs w:val="32"/>
          <w:rtl/>
        </w:rPr>
        <w:t>عنوان الدرس:</w:t>
      </w:r>
      <w:r w:rsidR="00881D7E" w:rsidRPr="00881D7E">
        <w:rPr>
          <w:rFonts w:ascii="Simplified Arabic" w:hAnsi="Simplified Arabic" w:cs="Simplified Arabic" w:hint="cs"/>
          <w:b/>
          <w:bCs/>
          <w:sz w:val="40"/>
          <w:szCs w:val="40"/>
          <w:rtl/>
          <w:lang w:bidi="ar-DZ"/>
        </w:rPr>
        <w:t xml:space="preserve"> </w:t>
      </w:r>
      <w:r w:rsidR="00881D7E">
        <w:rPr>
          <w:rFonts w:ascii="Simplified Arabic" w:hAnsi="Simplified Arabic" w:cs="Simplified Arabic" w:hint="cs"/>
          <w:b/>
          <w:bCs/>
          <w:sz w:val="40"/>
          <w:szCs w:val="40"/>
          <w:rtl/>
          <w:lang w:bidi="ar-DZ"/>
        </w:rPr>
        <w:t>نموذج تطبيقي عن التعليق على نص قانوني:</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P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2C0167" w:rsidRDefault="00881D7E" w:rsidP="00B56B94">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كيف يكون التعليق على نص قانوني من الناحية التطبيقية</w:t>
      </w:r>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أهداف الدرس</w:t>
      </w:r>
    </w:p>
    <w:p w:rsidR="00B60A7A" w:rsidRPr="003A52F6" w:rsidRDefault="00B60A7A" w:rsidP="00B60A7A">
      <w:pPr>
        <w:pStyle w:val="a3"/>
        <w:bidi/>
        <w:spacing w:after="0" w:line="240" w:lineRule="auto"/>
        <w:ind w:left="750"/>
        <w:jc w:val="lowKashida"/>
        <w:rPr>
          <w:rFonts w:ascii="Amiri" w:eastAsia="Times New Roman" w:hAnsi="Amiri" w:cs="Amiri"/>
          <w:b/>
          <w:bCs/>
          <w:color w:val="FF0000"/>
          <w:kern w:val="24"/>
          <w:sz w:val="24"/>
          <w:szCs w:val="24"/>
          <w:rtl/>
          <w:lang w:bidi="ar-DZ"/>
        </w:rPr>
      </w:pPr>
    </w:p>
    <w:p w:rsidR="003A52F6" w:rsidRPr="00881D7E" w:rsidRDefault="001D2158" w:rsidP="00106A44">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الإلمام ب</w:t>
      </w:r>
      <w:r w:rsidR="00C3299D">
        <w:rPr>
          <w:rFonts w:ascii="Traditional Arabic" w:hAnsi="Traditional Arabic" w:cs="Traditional Arabic" w:hint="cs"/>
          <w:sz w:val="36"/>
          <w:szCs w:val="36"/>
          <w:rtl/>
          <w:lang w:bidi="ar-DZ"/>
        </w:rPr>
        <w:t>منهجية التعليق</w:t>
      </w:r>
      <w:r w:rsidR="00881D7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على </w:t>
      </w:r>
      <w:r w:rsidR="00881D7E">
        <w:rPr>
          <w:rFonts w:ascii="Traditional Arabic" w:hAnsi="Traditional Arabic" w:cs="Traditional Arabic" w:hint="cs"/>
          <w:sz w:val="36"/>
          <w:szCs w:val="36"/>
          <w:rtl/>
          <w:lang w:bidi="ar-DZ"/>
        </w:rPr>
        <w:t>نص قانوني من الناحية التطبيقية</w:t>
      </w:r>
      <w:r w:rsidR="001102B7" w:rsidRPr="00881D7E">
        <w:rPr>
          <w:rFonts w:ascii="Traditional Arabic" w:hAnsi="Traditional Arabic" w:cs="Traditional Arabic" w:hint="cs"/>
          <w:sz w:val="36"/>
          <w:szCs w:val="36"/>
          <w:rtl/>
          <w:lang w:bidi="ar-DZ"/>
        </w:rPr>
        <w:t>.</w:t>
      </w:r>
    </w:p>
    <w:p w:rsidR="008464BA" w:rsidRPr="00C3299D"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881D7E" w:rsidRDefault="003A52F6" w:rsidP="00881D7E">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محتوى الدرس</w:t>
      </w:r>
      <w:r w:rsidR="00191FA1">
        <w:rPr>
          <w:rFonts w:ascii="Amiri" w:eastAsia="Times New Roman" w:hAnsi="Amiri" w:cs="Amiri" w:hint="cs"/>
          <w:b/>
          <w:bCs/>
          <w:color w:val="FF0000"/>
          <w:kern w:val="24"/>
          <w:sz w:val="24"/>
          <w:szCs w:val="24"/>
          <w:rtl/>
          <w:lang w:bidi="ar-DZ"/>
        </w:rPr>
        <w:t xml:space="preserve"> </w:t>
      </w:r>
      <w:r w:rsidR="003D0078">
        <w:rPr>
          <w:rFonts w:ascii="Amiri" w:eastAsia="Times New Roman" w:hAnsi="Amiri" w:cs="Amiri" w:hint="cs"/>
          <w:b/>
          <w:bCs/>
          <w:color w:val="FF0000"/>
          <w:kern w:val="24"/>
          <w:sz w:val="24"/>
          <w:szCs w:val="24"/>
          <w:rtl/>
          <w:lang w:bidi="ar-DZ"/>
        </w:rPr>
        <w:t>:</w:t>
      </w:r>
    </w:p>
    <w:p w:rsidR="00881D7E" w:rsidRPr="00881D7E" w:rsidRDefault="00881D7E" w:rsidP="00881D7E">
      <w:pPr>
        <w:pStyle w:val="a3"/>
        <w:bidi/>
        <w:spacing w:after="0" w:line="240" w:lineRule="auto"/>
        <w:ind w:left="750"/>
        <w:jc w:val="lowKashida"/>
        <w:rPr>
          <w:rFonts w:ascii="Amiri" w:eastAsia="Times New Roman" w:hAnsi="Amiri" w:cs="Amiri"/>
          <w:b/>
          <w:bCs/>
          <w:color w:val="FF0000"/>
          <w:kern w:val="24"/>
          <w:sz w:val="24"/>
          <w:szCs w:val="24"/>
          <w:rtl/>
          <w:lang w:bidi="ar-DZ"/>
        </w:rPr>
      </w:pPr>
    </w:p>
    <w:p w:rsidR="00881D7E" w:rsidRPr="00D633A9" w:rsidRDefault="00881D7E" w:rsidP="00881D7E">
      <w:pPr>
        <w:pStyle w:val="a5"/>
        <w:shd w:val="clear" w:color="auto" w:fill="FFFFFF"/>
        <w:bidi/>
        <w:spacing w:before="0" w:beforeAutospacing="0" w:after="0" w:afterAutospacing="0" w:line="648" w:lineRule="atLeast"/>
        <w:rPr>
          <w:rFonts w:ascii="Simplified Arabic" w:eastAsiaTheme="minorHAnsi" w:hAnsi="Simplified Arabic" w:cs="Simplified Arabic"/>
          <w:sz w:val="32"/>
          <w:szCs w:val="32"/>
          <w:lang w:eastAsia="en-US" w:bidi="ar-DZ"/>
        </w:rPr>
      </w:pPr>
      <w:r>
        <w:rPr>
          <w:rFonts w:ascii="Simplified Arabic" w:eastAsiaTheme="minorHAnsi" w:hAnsi="Simplified Arabic" w:cs="Simplified Arabic" w:hint="cs"/>
          <w:sz w:val="32"/>
          <w:szCs w:val="32"/>
          <w:rtl/>
          <w:lang w:eastAsia="en-US" w:bidi="ar-DZ"/>
        </w:rPr>
        <w:t>المطلوب التعليق على</w:t>
      </w:r>
      <w:r w:rsidRPr="00D633A9">
        <w:rPr>
          <w:rFonts w:ascii="Simplified Arabic" w:eastAsiaTheme="minorHAnsi" w:hAnsi="Simplified Arabic" w:cs="Simplified Arabic"/>
          <w:sz w:val="32"/>
          <w:szCs w:val="32"/>
          <w:rtl/>
          <w:lang w:eastAsia="en-US" w:bidi="ar-DZ"/>
        </w:rPr>
        <w:t xml:space="preserve"> المادة 830 من قانون </w:t>
      </w:r>
      <w:r w:rsidRPr="00D633A9">
        <w:rPr>
          <w:rFonts w:ascii="Simplified Arabic" w:eastAsiaTheme="minorHAnsi" w:hAnsi="Simplified Arabic" w:cs="Simplified Arabic" w:hint="cs"/>
          <w:sz w:val="32"/>
          <w:szCs w:val="32"/>
          <w:rtl/>
          <w:lang w:eastAsia="en-US" w:bidi="ar-DZ"/>
        </w:rPr>
        <w:t>الإجراءات</w:t>
      </w:r>
      <w:r w:rsidRPr="00D633A9">
        <w:rPr>
          <w:rFonts w:ascii="Simplified Arabic" w:eastAsiaTheme="minorHAnsi" w:hAnsi="Simplified Arabic" w:cs="Simplified Arabic"/>
          <w:sz w:val="32"/>
          <w:szCs w:val="32"/>
          <w:rtl/>
          <w:lang w:eastAsia="en-US" w:bidi="ar-DZ"/>
        </w:rPr>
        <w:t xml:space="preserve"> المدنية </w:t>
      </w:r>
      <w:r w:rsidRPr="00D633A9">
        <w:rPr>
          <w:rFonts w:ascii="Simplified Arabic" w:eastAsiaTheme="minorHAnsi" w:hAnsi="Simplified Arabic" w:cs="Simplified Arabic" w:hint="cs"/>
          <w:sz w:val="32"/>
          <w:szCs w:val="32"/>
          <w:rtl/>
          <w:lang w:eastAsia="en-US" w:bidi="ar-DZ"/>
        </w:rPr>
        <w:t>والإدارية</w:t>
      </w:r>
      <w:r>
        <w:rPr>
          <w:rFonts w:ascii="Simplified Arabic" w:eastAsiaTheme="minorHAnsi" w:hAnsi="Simplified Arabic" w:cs="Simplified Arabic"/>
          <w:sz w:val="32"/>
          <w:szCs w:val="32"/>
          <w:rtl/>
          <w:lang w:eastAsia="en-US" w:bidi="ar-DZ"/>
        </w:rPr>
        <w:t xml:space="preserve"> </w:t>
      </w:r>
      <w:r>
        <w:rPr>
          <w:rFonts w:ascii="Simplified Arabic" w:eastAsiaTheme="minorHAnsi" w:hAnsi="Simplified Arabic" w:cs="Simplified Arabic" w:hint="cs"/>
          <w:sz w:val="32"/>
          <w:szCs w:val="32"/>
          <w:rtl/>
          <w:lang w:eastAsia="en-US" w:bidi="ar-DZ"/>
        </w:rPr>
        <w:t xml:space="preserve">التي تنص على: </w:t>
      </w:r>
      <w:r w:rsidRPr="00365C2B">
        <w:rPr>
          <w:rFonts w:ascii="Simplified Arabic" w:eastAsiaTheme="minorHAnsi" w:hAnsi="Simplified Arabic" w:cs="Simplified Arabic" w:hint="cs"/>
          <w:b/>
          <w:bCs/>
          <w:sz w:val="36"/>
          <w:szCs w:val="36"/>
          <w:rtl/>
          <w:lang w:eastAsia="en-US" w:bidi="ar-DZ"/>
        </w:rPr>
        <w:t>"</w:t>
      </w:r>
      <w:r w:rsidRPr="00D633A9">
        <w:rPr>
          <w:rFonts w:ascii="Simplified Arabic" w:eastAsiaTheme="minorHAnsi" w:hAnsi="Simplified Arabic" w:cs="Simplified Arabic"/>
          <w:sz w:val="32"/>
          <w:szCs w:val="32"/>
          <w:rtl/>
          <w:lang w:eastAsia="en-US" w:bidi="ar-DZ"/>
        </w:rPr>
        <w:t xml:space="preserve"> يجوز للشخص المعني بالقرار الإداري، تقديم تظلم إلى الجهة الإدارية مصدرة القرار في الأجل المنصوص عليه في المادة 829 أعلاه</w:t>
      </w:r>
      <w:r w:rsidRPr="00D633A9">
        <w:rPr>
          <w:rFonts w:ascii="Simplified Arabic" w:eastAsiaTheme="minorHAnsi" w:hAnsi="Simplified Arabic" w:cs="Simplified Arabic"/>
          <w:sz w:val="32"/>
          <w:szCs w:val="32"/>
          <w:lang w:eastAsia="en-US" w:bidi="ar-DZ"/>
        </w:rPr>
        <w:t>.</w:t>
      </w:r>
    </w:p>
    <w:p w:rsidR="00881D7E" w:rsidRPr="00D633A9" w:rsidRDefault="00881D7E" w:rsidP="00881D7E">
      <w:pPr>
        <w:pStyle w:val="a5"/>
        <w:shd w:val="clear" w:color="auto" w:fill="FFFFFF"/>
        <w:bidi/>
        <w:spacing w:before="0" w:beforeAutospacing="0" w:after="0" w:afterAutospacing="0" w:line="648" w:lineRule="atLeast"/>
        <w:rPr>
          <w:rFonts w:ascii="Simplified Arabic" w:eastAsiaTheme="minorHAnsi" w:hAnsi="Simplified Arabic" w:cs="Simplified Arabic"/>
          <w:sz w:val="32"/>
          <w:szCs w:val="32"/>
          <w:lang w:eastAsia="en-US" w:bidi="ar-DZ"/>
        </w:rPr>
      </w:pPr>
      <w:r w:rsidRPr="00D633A9">
        <w:rPr>
          <w:rFonts w:ascii="Simplified Arabic" w:eastAsiaTheme="minorHAnsi" w:hAnsi="Simplified Arabic" w:cs="Simplified Arabic"/>
          <w:sz w:val="32"/>
          <w:szCs w:val="32"/>
          <w:rtl/>
          <w:lang w:eastAsia="en-US" w:bidi="ar-DZ"/>
        </w:rPr>
        <w:t>يعد سكوت الجهة الإدارية المتظلم أمامها عن الرد، خلال شهرين (2)، بمثابة قرار بالرفض ويبدأ هذا الأجل من تاريخ تبليغ التظلم</w:t>
      </w:r>
      <w:r w:rsidRPr="00D633A9">
        <w:rPr>
          <w:rFonts w:ascii="Simplified Arabic" w:eastAsiaTheme="minorHAnsi" w:hAnsi="Simplified Arabic" w:cs="Simplified Arabic"/>
          <w:sz w:val="32"/>
          <w:szCs w:val="32"/>
          <w:lang w:eastAsia="en-US" w:bidi="ar-DZ"/>
        </w:rPr>
        <w:t>.</w:t>
      </w:r>
    </w:p>
    <w:p w:rsidR="00881D7E" w:rsidRPr="00D633A9" w:rsidRDefault="00881D7E" w:rsidP="00881D7E">
      <w:pPr>
        <w:pStyle w:val="a5"/>
        <w:shd w:val="clear" w:color="auto" w:fill="FFFFFF"/>
        <w:bidi/>
        <w:spacing w:before="0" w:beforeAutospacing="0" w:after="0" w:afterAutospacing="0" w:line="648" w:lineRule="atLeast"/>
        <w:rPr>
          <w:rFonts w:ascii="Simplified Arabic" w:eastAsiaTheme="minorHAnsi" w:hAnsi="Simplified Arabic" w:cs="Simplified Arabic"/>
          <w:sz w:val="32"/>
          <w:szCs w:val="32"/>
          <w:lang w:eastAsia="en-US" w:bidi="ar-DZ"/>
        </w:rPr>
      </w:pPr>
      <w:r w:rsidRPr="00D633A9">
        <w:rPr>
          <w:rFonts w:ascii="Simplified Arabic" w:eastAsiaTheme="minorHAnsi" w:hAnsi="Simplified Arabic" w:cs="Simplified Arabic"/>
          <w:sz w:val="32"/>
          <w:szCs w:val="32"/>
          <w:rtl/>
          <w:lang w:eastAsia="en-US" w:bidi="ar-DZ"/>
        </w:rPr>
        <w:t>وفي حالة سكوت الجهة الإدارية، يستفيد المتظلم من أجل شهرين (2)، لتقديم طعنه القضائي، الذي يسري من تاريخ انتهاء أجل الشهرين (2) المشار إليه في الفقرة أعلاه</w:t>
      </w:r>
      <w:r w:rsidRPr="00D633A9">
        <w:rPr>
          <w:rFonts w:ascii="Simplified Arabic" w:eastAsiaTheme="minorHAnsi" w:hAnsi="Simplified Arabic" w:cs="Simplified Arabic"/>
          <w:sz w:val="32"/>
          <w:szCs w:val="32"/>
          <w:lang w:eastAsia="en-US" w:bidi="ar-DZ"/>
        </w:rPr>
        <w:t>.</w:t>
      </w:r>
    </w:p>
    <w:p w:rsidR="00881D7E" w:rsidRPr="00D633A9" w:rsidRDefault="00881D7E" w:rsidP="00881D7E">
      <w:pPr>
        <w:pStyle w:val="a5"/>
        <w:shd w:val="clear" w:color="auto" w:fill="FFFFFF"/>
        <w:bidi/>
        <w:spacing w:before="0" w:beforeAutospacing="0" w:after="0" w:afterAutospacing="0" w:line="648" w:lineRule="atLeast"/>
        <w:rPr>
          <w:rFonts w:ascii="Simplified Arabic" w:eastAsiaTheme="minorHAnsi" w:hAnsi="Simplified Arabic" w:cs="Simplified Arabic"/>
          <w:sz w:val="32"/>
          <w:szCs w:val="32"/>
          <w:lang w:eastAsia="en-US" w:bidi="ar-DZ"/>
        </w:rPr>
      </w:pPr>
      <w:r w:rsidRPr="00D633A9">
        <w:rPr>
          <w:rFonts w:ascii="Simplified Arabic" w:eastAsiaTheme="minorHAnsi" w:hAnsi="Simplified Arabic" w:cs="Simplified Arabic"/>
          <w:sz w:val="32"/>
          <w:szCs w:val="32"/>
          <w:rtl/>
          <w:lang w:eastAsia="en-US" w:bidi="ar-DZ"/>
        </w:rPr>
        <w:t>في حالة رد الجهة الإدارية خلال الأجل الممنوح لها، يبدأ سريان أجل شهرين (2) من تاريخ تبليغ الرفض</w:t>
      </w:r>
      <w:r w:rsidRPr="00D633A9">
        <w:rPr>
          <w:rFonts w:ascii="Simplified Arabic" w:eastAsiaTheme="minorHAnsi" w:hAnsi="Simplified Arabic" w:cs="Simplified Arabic"/>
          <w:sz w:val="32"/>
          <w:szCs w:val="32"/>
          <w:lang w:eastAsia="en-US" w:bidi="ar-DZ"/>
        </w:rPr>
        <w:t>.</w:t>
      </w:r>
    </w:p>
    <w:p w:rsidR="00881D7E" w:rsidRDefault="00881D7E" w:rsidP="00881D7E">
      <w:pPr>
        <w:pStyle w:val="a5"/>
        <w:shd w:val="clear" w:color="auto" w:fill="FFFFFF"/>
        <w:bidi/>
        <w:spacing w:before="0" w:beforeAutospacing="0" w:after="264" w:afterAutospacing="0" w:line="648" w:lineRule="atLeast"/>
        <w:rPr>
          <w:rFonts w:ascii="Simplified Arabic" w:eastAsiaTheme="minorHAnsi" w:hAnsi="Simplified Arabic" w:cs="Simplified Arabic"/>
          <w:b/>
          <w:bCs/>
          <w:sz w:val="36"/>
          <w:szCs w:val="36"/>
          <w:rtl/>
          <w:lang w:eastAsia="en-US" w:bidi="ar-DZ"/>
        </w:rPr>
      </w:pPr>
      <w:r w:rsidRPr="00D633A9">
        <w:rPr>
          <w:rFonts w:ascii="Simplified Arabic" w:eastAsiaTheme="minorHAnsi" w:hAnsi="Simplified Arabic" w:cs="Simplified Arabic"/>
          <w:sz w:val="32"/>
          <w:szCs w:val="32"/>
          <w:rtl/>
          <w:lang w:eastAsia="en-US" w:bidi="ar-DZ"/>
        </w:rPr>
        <w:t>يثبت إيداع التظلم أمام الجهة الإدارية بكل الوسائل المكتوبة، ويرفق مع العريضة</w:t>
      </w:r>
      <w:r w:rsidRPr="00365C2B">
        <w:rPr>
          <w:rFonts w:ascii="Simplified Arabic" w:eastAsiaTheme="minorHAnsi" w:hAnsi="Simplified Arabic" w:cs="Simplified Arabic" w:hint="cs"/>
          <w:b/>
          <w:bCs/>
          <w:sz w:val="36"/>
          <w:szCs w:val="36"/>
          <w:rtl/>
          <w:lang w:eastAsia="en-US" w:bidi="ar-DZ"/>
        </w:rPr>
        <w:t xml:space="preserve"> </w:t>
      </w:r>
      <w:r w:rsidR="00D1511F" w:rsidRPr="00365C2B">
        <w:rPr>
          <w:rFonts w:ascii="Simplified Arabic" w:eastAsiaTheme="minorHAnsi" w:hAnsi="Simplified Arabic" w:cs="Simplified Arabic" w:hint="cs"/>
          <w:b/>
          <w:bCs/>
          <w:sz w:val="36"/>
          <w:szCs w:val="36"/>
          <w:rtl/>
          <w:lang w:eastAsia="en-US" w:bidi="ar-DZ"/>
        </w:rPr>
        <w:t>"</w:t>
      </w:r>
      <w:r w:rsidR="00D1511F">
        <w:rPr>
          <w:rFonts w:ascii="Simplified Arabic" w:eastAsiaTheme="minorHAnsi" w:hAnsi="Simplified Arabic" w:cs="Simplified Arabic" w:hint="cs"/>
          <w:b/>
          <w:bCs/>
          <w:sz w:val="36"/>
          <w:szCs w:val="36"/>
          <w:rtl/>
          <w:lang w:eastAsia="en-US" w:bidi="ar-DZ"/>
        </w:rPr>
        <w:t>.</w:t>
      </w:r>
    </w:p>
    <w:p w:rsidR="00D1511F" w:rsidRDefault="00D1511F" w:rsidP="00881D7E">
      <w:pPr>
        <w:pStyle w:val="a5"/>
        <w:shd w:val="clear" w:color="auto" w:fill="FFFFFF"/>
        <w:bidi/>
        <w:spacing w:before="0" w:beforeAutospacing="0" w:after="264" w:afterAutospacing="0" w:line="648" w:lineRule="atLeast"/>
        <w:rPr>
          <w:rFonts w:ascii="Simplified Arabic" w:eastAsiaTheme="minorHAnsi" w:hAnsi="Simplified Arabic" w:cs="Simplified Arabic"/>
          <w:b/>
          <w:bCs/>
          <w:sz w:val="40"/>
          <w:szCs w:val="40"/>
          <w:rtl/>
          <w:lang w:eastAsia="en-US" w:bidi="ar-DZ"/>
        </w:rPr>
      </w:pPr>
    </w:p>
    <w:p w:rsidR="00881D7E" w:rsidRPr="00365C2B" w:rsidRDefault="00881D7E" w:rsidP="00D1511F">
      <w:pPr>
        <w:pStyle w:val="a5"/>
        <w:shd w:val="clear" w:color="auto" w:fill="FFFFFF"/>
        <w:bidi/>
        <w:spacing w:before="0" w:beforeAutospacing="0" w:after="264" w:afterAutospacing="0" w:line="648" w:lineRule="atLeast"/>
        <w:rPr>
          <w:rFonts w:ascii="Simplified Arabic" w:eastAsiaTheme="minorHAnsi" w:hAnsi="Simplified Arabic" w:cs="Simplified Arabic"/>
          <w:sz w:val="40"/>
          <w:szCs w:val="40"/>
          <w:lang w:eastAsia="en-US" w:bidi="ar-DZ"/>
        </w:rPr>
      </w:pPr>
      <w:r w:rsidRPr="00365C2B">
        <w:rPr>
          <w:rFonts w:ascii="Simplified Arabic" w:eastAsiaTheme="minorHAnsi" w:hAnsi="Simplified Arabic" w:cs="Simplified Arabic" w:hint="cs"/>
          <w:b/>
          <w:bCs/>
          <w:sz w:val="40"/>
          <w:szCs w:val="40"/>
          <w:rtl/>
          <w:lang w:eastAsia="en-US" w:bidi="ar-DZ"/>
        </w:rPr>
        <w:lastRenderedPageBreak/>
        <w:t>التعليق :</w:t>
      </w:r>
    </w:p>
    <w:p w:rsidR="00881D7E" w:rsidRPr="002D104A" w:rsidRDefault="00881D7E" w:rsidP="00881D7E">
      <w:pPr>
        <w:bidi/>
        <w:spacing w:after="0"/>
        <w:rPr>
          <w:rFonts w:ascii="Simplified Arabic" w:hAnsi="Simplified Arabic" w:cs="Simplified Arabic"/>
          <w:b/>
          <w:bCs/>
          <w:sz w:val="40"/>
          <w:szCs w:val="40"/>
          <w:rtl/>
          <w:lang w:bidi="ar-DZ"/>
        </w:rPr>
      </w:pPr>
      <w:r w:rsidRPr="002D104A">
        <w:rPr>
          <w:rFonts w:ascii="Simplified Arabic" w:hAnsi="Simplified Arabic" w:cs="Simplified Arabic" w:hint="cs"/>
          <w:b/>
          <w:bCs/>
          <w:sz w:val="40"/>
          <w:szCs w:val="40"/>
          <w:rtl/>
          <w:lang w:bidi="ar-DZ"/>
        </w:rPr>
        <w:t xml:space="preserve">أولا: المرحلة التحضيرية </w:t>
      </w:r>
    </w:p>
    <w:p w:rsidR="00881D7E" w:rsidRPr="004F4A6A" w:rsidRDefault="00881D7E" w:rsidP="00881D7E">
      <w:pPr>
        <w:bidi/>
        <w:spacing w:after="0"/>
        <w:rPr>
          <w:rFonts w:ascii="Simplified Arabic" w:hAnsi="Simplified Arabic" w:cs="Simplified Arabic"/>
          <w:b/>
          <w:bCs/>
          <w:sz w:val="36"/>
          <w:szCs w:val="36"/>
          <w:rtl/>
          <w:lang w:bidi="ar-DZ"/>
        </w:rPr>
      </w:pPr>
      <w:r w:rsidRPr="004F4A6A">
        <w:rPr>
          <w:rFonts w:ascii="Simplified Arabic" w:hAnsi="Simplified Arabic" w:cs="Simplified Arabic" w:hint="cs"/>
          <w:b/>
          <w:bCs/>
          <w:sz w:val="36"/>
          <w:szCs w:val="36"/>
          <w:rtl/>
          <w:lang w:bidi="ar-DZ"/>
        </w:rPr>
        <w:t>أ-التحليل الشكلي :</w:t>
      </w:r>
    </w:p>
    <w:p w:rsidR="00881D7E" w:rsidRDefault="00881D7E" w:rsidP="00881D7E">
      <w:pPr>
        <w:pStyle w:val="a3"/>
        <w:numPr>
          <w:ilvl w:val="0"/>
          <w:numId w:val="22"/>
        </w:numPr>
        <w:bidi/>
        <w:spacing w:after="0"/>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Pr="00050C51">
        <w:rPr>
          <w:rFonts w:ascii="Simplified Arabic" w:hAnsi="Simplified Arabic" w:cs="Simplified Arabic"/>
          <w:b/>
          <w:bCs/>
          <w:sz w:val="32"/>
          <w:szCs w:val="32"/>
          <w:rtl/>
          <w:lang w:bidi="ar-DZ"/>
        </w:rPr>
        <w:t>طبيعة النص</w:t>
      </w:r>
      <w:r w:rsidRPr="00050C51">
        <w:rPr>
          <w:rFonts w:ascii="Simplified Arabic" w:hAnsi="Simplified Arabic" w:cs="Simplified Arabic" w:hint="cs"/>
          <w:b/>
          <w:bCs/>
          <w:sz w:val="32"/>
          <w:szCs w:val="32"/>
          <w:rtl/>
          <w:lang w:bidi="ar-DZ"/>
        </w:rPr>
        <w:t xml:space="preserve"> ومصدره</w:t>
      </w:r>
      <w:r w:rsidRPr="00050C51">
        <w:rPr>
          <w:rFonts w:ascii="Simplified Arabic" w:hAnsi="Simplified Arabic" w:cs="Simplified Arabic"/>
          <w:b/>
          <w:bCs/>
          <w:sz w:val="32"/>
          <w:szCs w:val="32"/>
          <w:lang w:bidi="ar-DZ"/>
        </w:rPr>
        <w:t>:</w:t>
      </w:r>
      <w:r w:rsidRPr="00DB4D3C">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النص القانوني الذي أمامنا هو المادة 830 </w:t>
      </w:r>
      <w:r w:rsidRPr="00DB4D3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من قانون الإجراءات المدنية والإدارية الذي صدر في 25 فيفري 2008 ، تتمثل درجته المعيارية في التشريع وتحديدا بمرتبة قانون عادي .</w:t>
      </w:r>
    </w:p>
    <w:p w:rsidR="00881D7E" w:rsidRDefault="00881D7E" w:rsidP="00881D7E">
      <w:pPr>
        <w:pStyle w:val="a3"/>
        <w:numPr>
          <w:ilvl w:val="0"/>
          <w:numId w:val="22"/>
        </w:numPr>
        <w:bidi/>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موقع النص</w:t>
      </w:r>
      <w:r w:rsidRPr="00050C51">
        <w:rPr>
          <w:rFonts w:ascii="Simplified Arabic" w:hAnsi="Simplified Arabic" w:cs="Simplified Arabic" w:hint="cs"/>
          <w:b/>
          <w:bCs/>
          <w:sz w:val="32"/>
          <w:szCs w:val="32"/>
          <w:rtl/>
          <w:lang w:bidi="ar-DZ"/>
        </w:rPr>
        <w:t xml:space="preserve"> وظروف صدوره :</w:t>
      </w:r>
      <w:r w:rsidRPr="00DB4D3C">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موقع المادة 830 في الفصل الثاني من الباب الأول من الكتاب الرابع من قانون الإجراءات المدنية الإدارية ، حيث صدر هذا القانون الأخير في25 فيفري 2008 أما بداية تطبيقه كانت ابتداءً من سنة 2009 ، حيث جاء للتجسيد الحقيقي للازدواجية القضائية ، من خلال تخصيص مواد خاصة بالإجراءات المتعلقة بالمنازعات الإدارية ، وهذا على خلاف ما كان عليه الحال في قانون الإجراءات المدنية القديم ،  وإذا عدنا للمادة 830 منه فهي نظمت مسألة التظلم .</w:t>
      </w:r>
    </w:p>
    <w:p w:rsidR="00881D7E" w:rsidRPr="00CB4C6E" w:rsidRDefault="00881D7E" w:rsidP="00881D7E">
      <w:pPr>
        <w:pStyle w:val="a3"/>
        <w:numPr>
          <w:ilvl w:val="0"/>
          <w:numId w:val="22"/>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أسلوب النص</w:t>
      </w:r>
      <w:r w:rsidRPr="00CB4C6E">
        <w:rPr>
          <w:rFonts w:ascii="Simplified Arabic" w:hAnsi="Simplified Arabic" w:cs="Simplified Arabic" w:hint="cs"/>
          <w:b/>
          <w:bCs/>
          <w:sz w:val="32"/>
          <w:szCs w:val="32"/>
          <w:rtl/>
          <w:lang w:bidi="ar-DZ"/>
        </w:rPr>
        <w:t>:</w:t>
      </w:r>
    </w:p>
    <w:p w:rsidR="00881D7E" w:rsidRDefault="00881D7E" w:rsidP="00881D7E">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بالنسبة للبناء المطبعي واللغوي </w:t>
      </w:r>
      <w:r w:rsidR="0083683B">
        <w:rPr>
          <w:rFonts w:ascii="Simplified Arabic" w:hAnsi="Simplified Arabic" w:cs="Simplified Arabic" w:hint="cs"/>
          <w:sz w:val="32"/>
          <w:szCs w:val="32"/>
          <w:rtl/>
          <w:lang w:bidi="ar-DZ"/>
        </w:rPr>
        <w:t>للنص فقد</w:t>
      </w:r>
      <w:r>
        <w:rPr>
          <w:rFonts w:ascii="Simplified Arabic" w:hAnsi="Simplified Arabic" w:cs="Simplified Arabic" w:hint="cs"/>
          <w:sz w:val="32"/>
          <w:szCs w:val="32"/>
          <w:rtl/>
          <w:lang w:bidi="ar-DZ"/>
        </w:rPr>
        <w:t xml:space="preserve"> كانت صياغة جيدة ولغة واضحة بدون حشو، مع تفصيل لمختلف حالات التظلم وطبيعته بأسلوب سهل ولغة </w:t>
      </w:r>
      <w:r w:rsidR="0083683B">
        <w:rPr>
          <w:rFonts w:ascii="Simplified Arabic" w:hAnsi="Simplified Arabic" w:cs="Simplified Arabic" w:hint="cs"/>
          <w:sz w:val="32"/>
          <w:szCs w:val="32"/>
          <w:rtl/>
          <w:lang w:bidi="ar-DZ"/>
        </w:rPr>
        <w:t>مفهومة،</w:t>
      </w:r>
      <w:r>
        <w:rPr>
          <w:rFonts w:ascii="Simplified Arabic" w:hAnsi="Simplified Arabic" w:cs="Simplified Arabic" w:hint="cs"/>
          <w:sz w:val="32"/>
          <w:szCs w:val="32"/>
          <w:rtl/>
          <w:lang w:bidi="ar-DZ"/>
        </w:rPr>
        <w:t xml:space="preserve"> وبسبب وجود تفصيلات متعددة كانت المادة 830 طويلة </w:t>
      </w:r>
      <w:r w:rsidR="0083683B">
        <w:rPr>
          <w:rFonts w:ascii="Simplified Arabic" w:hAnsi="Simplified Arabic" w:cs="Simplified Arabic" w:hint="cs"/>
          <w:sz w:val="32"/>
          <w:szCs w:val="32"/>
          <w:rtl/>
          <w:lang w:bidi="ar-DZ"/>
        </w:rPr>
        <w:t>نوعا.</w:t>
      </w:r>
      <w:r>
        <w:rPr>
          <w:rFonts w:ascii="Simplified Arabic" w:hAnsi="Simplified Arabic" w:cs="Simplified Arabic" w:hint="cs"/>
          <w:sz w:val="32"/>
          <w:szCs w:val="32"/>
          <w:rtl/>
          <w:lang w:bidi="ar-DZ"/>
        </w:rPr>
        <w:t xml:space="preserve"> يوجد في نص المادة خمسة فقرات مرتبة </w:t>
      </w:r>
      <w:r w:rsidR="0083683B">
        <w:rPr>
          <w:rFonts w:ascii="Simplified Arabic" w:hAnsi="Simplified Arabic" w:cs="Simplified Arabic" w:hint="cs"/>
          <w:sz w:val="32"/>
          <w:szCs w:val="32"/>
          <w:rtl/>
          <w:lang w:bidi="ar-DZ"/>
        </w:rPr>
        <w:t>كالتالي:</w:t>
      </w:r>
    </w:p>
    <w:p w:rsidR="00881D7E" w:rsidRDefault="00881D7E" w:rsidP="00881D7E">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تبدأ الفقرة الأولى من: يجوز للشخص المعني ....... إلى غاية ... المنصوص عليه في المادة </w:t>
      </w:r>
      <w:r w:rsidR="0083683B">
        <w:rPr>
          <w:rFonts w:ascii="Simplified Arabic" w:hAnsi="Simplified Arabic" w:cs="Simplified Arabic" w:hint="cs"/>
          <w:sz w:val="32"/>
          <w:szCs w:val="32"/>
          <w:rtl/>
          <w:lang w:bidi="ar-DZ"/>
        </w:rPr>
        <w:t>829.</w:t>
      </w:r>
      <w:r>
        <w:rPr>
          <w:rFonts w:ascii="Simplified Arabic" w:hAnsi="Simplified Arabic" w:cs="Simplified Arabic" w:hint="cs"/>
          <w:sz w:val="32"/>
          <w:szCs w:val="32"/>
          <w:rtl/>
          <w:lang w:bidi="ar-DZ"/>
        </w:rPr>
        <w:t xml:space="preserve"> </w:t>
      </w:r>
    </w:p>
    <w:p w:rsidR="00881D7E" w:rsidRDefault="00881D7E" w:rsidP="00881D7E">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تبدأ الفقرة الثانية من: بعد سكوت الجهة الإدارة ...... إلى غاية .... تبليغ التظلم. تبدأ الفقرة الثالثة من: في حالة سكوت الجهة </w:t>
      </w:r>
      <w:r w:rsidR="0083683B">
        <w:rPr>
          <w:rFonts w:ascii="Simplified Arabic" w:hAnsi="Simplified Arabic" w:cs="Simplified Arabic" w:hint="cs"/>
          <w:sz w:val="32"/>
          <w:szCs w:val="32"/>
          <w:rtl/>
          <w:lang w:bidi="ar-DZ"/>
        </w:rPr>
        <w:t>الإدارية.</w:t>
      </w:r>
      <w:r>
        <w:rPr>
          <w:rFonts w:ascii="Simplified Arabic" w:hAnsi="Simplified Arabic" w:cs="Simplified Arabic" w:hint="cs"/>
          <w:sz w:val="32"/>
          <w:szCs w:val="32"/>
          <w:rtl/>
          <w:lang w:bidi="ar-DZ"/>
        </w:rPr>
        <w:t>. إلى غاية.. في الفقرة أعلاه.</w:t>
      </w:r>
    </w:p>
    <w:p w:rsidR="00881D7E" w:rsidRDefault="00881D7E" w:rsidP="00881D7E">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تبدأ الفقرة الرابعة من: في حالة رد الجهة الإدارية ...إلى غاية ... تبليغ </w:t>
      </w:r>
      <w:r w:rsidR="0083683B">
        <w:rPr>
          <w:rFonts w:ascii="Simplified Arabic" w:hAnsi="Simplified Arabic" w:cs="Simplified Arabic" w:hint="cs"/>
          <w:sz w:val="32"/>
          <w:szCs w:val="32"/>
          <w:rtl/>
          <w:lang w:bidi="ar-DZ"/>
        </w:rPr>
        <w:t>الرفض.</w:t>
      </w:r>
    </w:p>
    <w:p w:rsidR="00881D7E" w:rsidRDefault="00881D7E" w:rsidP="00881D7E">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تبدأ الفقرة الخامسة من: يثبت إيداع التظلم .... إلى غاية ... ويرفق مع </w:t>
      </w:r>
      <w:r w:rsidR="0083683B">
        <w:rPr>
          <w:rFonts w:ascii="Simplified Arabic" w:hAnsi="Simplified Arabic" w:cs="Simplified Arabic" w:hint="cs"/>
          <w:sz w:val="32"/>
          <w:szCs w:val="32"/>
          <w:rtl/>
          <w:lang w:bidi="ar-DZ"/>
        </w:rPr>
        <w:t>العريضة.</w:t>
      </w:r>
      <w:r>
        <w:rPr>
          <w:rFonts w:ascii="Simplified Arabic" w:hAnsi="Simplified Arabic" w:cs="Simplified Arabic" w:hint="cs"/>
          <w:sz w:val="32"/>
          <w:szCs w:val="32"/>
          <w:rtl/>
          <w:lang w:bidi="ar-DZ"/>
        </w:rPr>
        <w:t xml:space="preserve"> </w:t>
      </w:r>
    </w:p>
    <w:p w:rsidR="00881D7E" w:rsidRDefault="00881D7E" w:rsidP="00881D7E">
      <w:pPr>
        <w:bidi/>
        <w:spacing w:after="0"/>
        <w:rPr>
          <w:rFonts w:ascii="Simplified Arabic" w:hAnsi="Simplified Arabic" w:cs="Simplified Arabic"/>
          <w:sz w:val="32"/>
          <w:szCs w:val="32"/>
          <w:rtl/>
          <w:lang w:bidi="ar-DZ"/>
        </w:rPr>
      </w:pPr>
      <w:r w:rsidRPr="00D069AD">
        <w:rPr>
          <w:rFonts w:ascii="Simplified Arabic" w:hAnsi="Simplified Arabic" w:cs="Simplified Arabic" w:hint="cs"/>
          <w:b/>
          <w:bCs/>
          <w:sz w:val="32"/>
          <w:szCs w:val="32"/>
          <w:rtl/>
          <w:lang w:bidi="ar-DZ"/>
        </w:rPr>
        <w:t>الكلمات المفتاحية</w:t>
      </w:r>
      <w:r>
        <w:rPr>
          <w:rFonts w:ascii="Simplified Arabic" w:hAnsi="Simplified Arabic" w:cs="Simplified Arabic" w:hint="cs"/>
          <w:sz w:val="32"/>
          <w:szCs w:val="32"/>
          <w:rtl/>
          <w:lang w:bidi="ar-DZ"/>
        </w:rPr>
        <w:t xml:space="preserve"> تتمثل </w:t>
      </w:r>
      <w:r w:rsidR="0083683B">
        <w:rPr>
          <w:rFonts w:ascii="Simplified Arabic" w:hAnsi="Simplified Arabic" w:cs="Simplified Arabic" w:hint="cs"/>
          <w:sz w:val="32"/>
          <w:szCs w:val="32"/>
          <w:rtl/>
          <w:lang w:bidi="ar-DZ"/>
        </w:rPr>
        <w:t>في: يجوز</w:t>
      </w:r>
      <w:r>
        <w:rPr>
          <w:rFonts w:ascii="Simplified Arabic" w:hAnsi="Simplified Arabic" w:cs="Simplified Arabic" w:hint="cs"/>
          <w:sz w:val="32"/>
          <w:szCs w:val="32"/>
          <w:rtl/>
          <w:lang w:bidi="ar-DZ"/>
        </w:rPr>
        <w:t xml:space="preserve"> للشخص المعني بالقرار الإداري- التظلم- الجهة مصدرة القرار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سكوت الجهة الإدارة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رد الجهة الإدارية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خلال شهرين ... </w:t>
      </w:r>
      <w:r w:rsidR="0083683B">
        <w:rPr>
          <w:rFonts w:ascii="Simplified Arabic" w:hAnsi="Simplified Arabic" w:cs="Simplified Arabic" w:hint="cs"/>
          <w:sz w:val="32"/>
          <w:szCs w:val="32"/>
          <w:rtl/>
          <w:lang w:bidi="ar-DZ"/>
        </w:rPr>
        <w:t>إلخ.</w:t>
      </w:r>
    </w:p>
    <w:p w:rsidR="00881D7E" w:rsidRDefault="00881D7E" w:rsidP="00881D7E">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شرح المصطلحات </w:t>
      </w:r>
      <w:r w:rsidR="0083683B">
        <w:rPr>
          <w:rFonts w:ascii="Simplified Arabic" w:hAnsi="Simplified Arabic" w:cs="Simplified Arabic" w:hint="cs"/>
          <w:sz w:val="32"/>
          <w:szCs w:val="32"/>
          <w:rtl/>
          <w:lang w:bidi="ar-DZ"/>
        </w:rPr>
        <w:t>الصعبة:</w:t>
      </w:r>
      <w:r>
        <w:rPr>
          <w:rFonts w:ascii="Simplified Arabic" w:hAnsi="Simplified Arabic" w:cs="Simplified Arabic" w:hint="cs"/>
          <w:sz w:val="32"/>
          <w:szCs w:val="32"/>
          <w:rtl/>
          <w:lang w:bidi="ar-DZ"/>
        </w:rPr>
        <w:t xml:space="preserve"> هناك عبارة فقط تستحق الشرح تتمثل في:</w:t>
      </w:r>
    </w:p>
    <w:p w:rsidR="00881D7E" w:rsidRPr="000F0A36" w:rsidRDefault="00881D7E" w:rsidP="00881D7E">
      <w:pPr>
        <w:bidi/>
        <w:spacing w:after="0"/>
        <w:rPr>
          <w:rFonts w:ascii="Simplified Arabic" w:hAnsi="Simplified Arabic" w:cs="Simplified Arabic"/>
          <w:sz w:val="32"/>
          <w:szCs w:val="32"/>
          <w:lang w:bidi="ar-DZ"/>
        </w:rPr>
      </w:pPr>
      <w:r w:rsidRPr="00F34FAA">
        <w:rPr>
          <w:rFonts w:ascii="Simplified Arabic" w:hAnsi="Simplified Arabic" w:cs="Simplified Arabic" w:hint="cs"/>
          <w:sz w:val="32"/>
          <w:szCs w:val="32"/>
          <w:u w:val="single"/>
          <w:rtl/>
          <w:lang w:bidi="ar-DZ"/>
        </w:rPr>
        <w:lastRenderedPageBreak/>
        <w:t>الأجل المنصوص عليه في المادة 829</w:t>
      </w:r>
      <w:r>
        <w:rPr>
          <w:rFonts w:ascii="Simplified Arabic" w:hAnsi="Simplified Arabic" w:cs="Simplified Arabic" w:hint="cs"/>
          <w:sz w:val="32"/>
          <w:szCs w:val="32"/>
          <w:rtl/>
          <w:lang w:bidi="ar-DZ"/>
        </w:rPr>
        <w:t xml:space="preserve"> يعني أن أجل تقديم التظلم هو نفس الأجل الخاص بدعوى الإلغاء أي 04 أشهر من يوم التبليغ أو التبليغ الشخصي للقرار الإداري الفردي، ومن يوم النشر إذا كان القرار الإداري جماعي أو </w:t>
      </w:r>
      <w:r w:rsidR="0083683B">
        <w:rPr>
          <w:rFonts w:ascii="Simplified Arabic" w:hAnsi="Simplified Arabic" w:cs="Simplified Arabic" w:hint="cs"/>
          <w:sz w:val="32"/>
          <w:szCs w:val="32"/>
          <w:rtl/>
          <w:lang w:bidi="ar-DZ"/>
        </w:rPr>
        <w:t>تنظيمي.</w:t>
      </w:r>
    </w:p>
    <w:p w:rsidR="00881D7E" w:rsidRDefault="00881D7E" w:rsidP="00881D7E">
      <w:pPr>
        <w:bidi/>
        <w:spacing w:after="0"/>
        <w:rPr>
          <w:rFonts w:ascii="Simplified Arabic" w:hAnsi="Simplified Arabic" w:cs="Simplified Arabic"/>
          <w:sz w:val="32"/>
          <w:szCs w:val="32"/>
          <w:rtl/>
          <w:lang w:bidi="ar-DZ"/>
        </w:rPr>
      </w:pPr>
      <w:r w:rsidRPr="00094007">
        <w:rPr>
          <w:rFonts w:ascii="Simplified Arabic" w:hAnsi="Simplified Arabic" w:cs="Simplified Arabic" w:hint="cs"/>
          <w:b/>
          <w:bCs/>
          <w:sz w:val="36"/>
          <w:szCs w:val="36"/>
          <w:rtl/>
          <w:lang w:bidi="ar-DZ"/>
        </w:rPr>
        <w:t>ب-</w:t>
      </w:r>
      <w:r w:rsidRPr="00094007">
        <w:rPr>
          <w:rFonts w:ascii="Simplified Arabic" w:hAnsi="Simplified Arabic" w:cs="Simplified Arabic"/>
          <w:b/>
          <w:bCs/>
          <w:sz w:val="36"/>
          <w:szCs w:val="36"/>
          <w:rtl/>
          <w:lang w:bidi="ar-DZ"/>
        </w:rPr>
        <w:t xml:space="preserve"> التحليل الموضوعي للنص</w:t>
      </w:r>
      <w:r w:rsidRPr="00094007">
        <w:rPr>
          <w:rFonts w:ascii="Simplified Arabic" w:hAnsi="Simplified Arabic" w:cs="Simplified Arabic"/>
          <w:b/>
          <w:bCs/>
          <w:sz w:val="36"/>
          <w:szCs w:val="36"/>
          <w:lang w:bidi="ar-DZ"/>
        </w:rPr>
        <w:t>:</w:t>
      </w:r>
      <w:r w:rsidRPr="00B95129">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تتمثل الفكرة العامة للمادة 830 في :</w:t>
      </w:r>
    </w:p>
    <w:p w:rsidR="00881D7E" w:rsidRPr="004F4A6A" w:rsidRDefault="00881D7E" w:rsidP="00881D7E">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التظلم بين الطبيعة والأجل وكيفية تأثير تقديمه على آجال دعوى الإلغاء "</w:t>
      </w:r>
    </w:p>
    <w:p w:rsidR="00881D7E" w:rsidRDefault="00881D7E" w:rsidP="00881D7E">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تتمثل الأفكار الأساسية </w:t>
      </w:r>
      <w:r w:rsidR="0083683B">
        <w:rPr>
          <w:rFonts w:ascii="Simplified Arabic" w:hAnsi="Simplified Arabic" w:cs="Simplified Arabic" w:hint="cs"/>
          <w:sz w:val="32"/>
          <w:szCs w:val="32"/>
          <w:rtl/>
          <w:lang w:bidi="ar-DZ"/>
        </w:rPr>
        <w:t>في:</w:t>
      </w:r>
    </w:p>
    <w:p w:rsidR="00881D7E" w:rsidRPr="00693069" w:rsidRDefault="00881D7E" w:rsidP="00881D7E">
      <w:pPr>
        <w:pStyle w:val="a3"/>
        <w:numPr>
          <w:ilvl w:val="0"/>
          <w:numId w:val="21"/>
        </w:numPr>
        <w:bidi/>
        <w:spacing w:after="0"/>
        <w:rPr>
          <w:rFonts w:ascii="Simplified Arabic" w:hAnsi="Simplified Arabic" w:cs="Simplified Arabic"/>
          <w:sz w:val="32"/>
          <w:szCs w:val="32"/>
          <w:lang w:bidi="ar-DZ"/>
        </w:rPr>
      </w:pPr>
      <w:r w:rsidRPr="00693069">
        <w:rPr>
          <w:rFonts w:ascii="Simplified Arabic" w:hAnsi="Simplified Arabic" w:cs="Simplified Arabic" w:hint="cs"/>
          <w:sz w:val="32"/>
          <w:szCs w:val="32"/>
          <w:rtl/>
          <w:lang w:bidi="ar-DZ"/>
        </w:rPr>
        <w:t xml:space="preserve">طبيعة </w:t>
      </w:r>
      <w:r w:rsidR="0083683B" w:rsidRPr="00693069">
        <w:rPr>
          <w:rFonts w:ascii="Simplified Arabic" w:hAnsi="Simplified Arabic" w:cs="Simplified Arabic" w:hint="cs"/>
          <w:sz w:val="32"/>
          <w:szCs w:val="32"/>
          <w:rtl/>
          <w:lang w:bidi="ar-DZ"/>
        </w:rPr>
        <w:t>التظلم</w:t>
      </w:r>
      <w:r w:rsidR="0083683B">
        <w:rPr>
          <w:rFonts w:ascii="Simplified Arabic" w:hAnsi="Simplified Arabic" w:cs="Simplified Arabic" w:hint="cs"/>
          <w:sz w:val="32"/>
          <w:szCs w:val="32"/>
          <w:rtl/>
          <w:lang w:bidi="ar-DZ"/>
        </w:rPr>
        <w:t>.</w:t>
      </w:r>
    </w:p>
    <w:p w:rsidR="00881D7E" w:rsidRDefault="00881D7E" w:rsidP="00881D7E">
      <w:pPr>
        <w:pStyle w:val="a3"/>
        <w:numPr>
          <w:ilvl w:val="0"/>
          <w:numId w:val="21"/>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الأجل القانوني لتقديم </w:t>
      </w:r>
      <w:r w:rsidR="0083683B">
        <w:rPr>
          <w:rFonts w:ascii="Simplified Arabic" w:hAnsi="Simplified Arabic" w:cs="Simplified Arabic" w:hint="cs"/>
          <w:sz w:val="32"/>
          <w:szCs w:val="32"/>
          <w:rtl/>
          <w:lang w:bidi="ar-DZ"/>
        </w:rPr>
        <w:t>التظلم.</w:t>
      </w:r>
    </w:p>
    <w:p w:rsidR="00881D7E" w:rsidRDefault="00881D7E" w:rsidP="00881D7E">
      <w:pPr>
        <w:pStyle w:val="a3"/>
        <w:numPr>
          <w:ilvl w:val="0"/>
          <w:numId w:val="2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حالة سكوت الجهة الإدارية المُتظلم </w:t>
      </w:r>
      <w:r w:rsidR="0083683B">
        <w:rPr>
          <w:rFonts w:ascii="Simplified Arabic" w:hAnsi="Simplified Arabic" w:cs="Simplified Arabic" w:hint="cs"/>
          <w:sz w:val="32"/>
          <w:szCs w:val="32"/>
          <w:rtl/>
          <w:lang w:bidi="ar-DZ"/>
        </w:rPr>
        <w:t>أمامها.</w:t>
      </w:r>
    </w:p>
    <w:p w:rsidR="00881D7E" w:rsidRPr="00693069" w:rsidRDefault="00881D7E" w:rsidP="00881D7E">
      <w:pPr>
        <w:pStyle w:val="a3"/>
        <w:numPr>
          <w:ilvl w:val="0"/>
          <w:numId w:val="2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حالة الرد الصريح من الجهة الإدارية المُتظلم </w:t>
      </w:r>
      <w:r w:rsidR="0083683B">
        <w:rPr>
          <w:rFonts w:ascii="Simplified Arabic" w:hAnsi="Simplified Arabic" w:cs="Simplified Arabic" w:hint="cs"/>
          <w:sz w:val="32"/>
          <w:szCs w:val="32"/>
          <w:rtl/>
          <w:lang w:bidi="ar-DZ"/>
        </w:rPr>
        <w:t>أمامها.</w:t>
      </w:r>
      <w:r w:rsidRPr="00693069">
        <w:rPr>
          <w:rFonts w:ascii="Simplified Arabic" w:hAnsi="Simplified Arabic" w:cs="Simplified Arabic" w:hint="cs"/>
          <w:sz w:val="32"/>
          <w:szCs w:val="32"/>
          <w:rtl/>
          <w:lang w:bidi="ar-DZ"/>
        </w:rPr>
        <w:t xml:space="preserve"> </w:t>
      </w:r>
    </w:p>
    <w:p w:rsidR="00881D7E" w:rsidRDefault="00881D7E" w:rsidP="00881D7E">
      <w:pPr>
        <w:pStyle w:val="a3"/>
        <w:numPr>
          <w:ilvl w:val="0"/>
          <w:numId w:val="2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كيفية إثبات إيداع </w:t>
      </w:r>
      <w:r w:rsidR="0083683B">
        <w:rPr>
          <w:rFonts w:ascii="Simplified Arabic" w:hAnsi="Simplified Arabic" w:cs="Simplified Arabic" w:hint="cs"/>
          <w:sz w:val="32"/>
          <w:szCs w:val="32"/>
          <w:rtl/>
          <w:lang w:bidi="ar-DZ"/>
        </w:rPr>
        <w:t>التظلم.</w:t>
      </w:r>
    </w:p>
    <w:p w:rsidR="00881D7E" w:rsidRPr="00693069" w:rsidRDefault="00881D7E" w:rsidP="00881D7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يُلاحظ هنا مدى الترابط بين الأفكار ونتج عن ذلك الإحاطة بكافة عناصر التظلم وتفصيلاته.</w:t>
      </w:r>
    </w:p>
    <w:p w:rsidR="00881D7E" w:rsidRPr="00442525" w:rsidRDefault="00881D7E" w:rsidP="00881D7E">
      <w:pPr>
        <w:bidi/>
        <w:jc w:val="both"/>
        <w:rPr>
          <w:rFonts w:ascii="Simplified Arabic" w:hAnsi="Simplified Arabic" w:cs="Simplified Arabic"/>
          <w:b/>
          <w:bCs/>
          <w:sz w:val="32"/>
          <w:szCs w:val="32"/>
          <w:rtl/>
          <w:lang w:bidi="ar-DZ"/>
        </w:rPr>
      </w:pPr>
      <w:r w:rsidRPr="00442525">
        <w:rPr>
          <w:rFonts w:ascii="Simplified Arabic" w:hAnsi="Simplified Arabic" w:cs="Simplified Arabic" w:hint="cs"/>
          <w:b/>
          <w:bCs/>
          <w:sz w:val="32"/>
          <w:szCs w:val="32"/>
          <w:rtl/>
          <w:lang w:bidi="ar-DZ"/>
        </w:rPr>
        <w:t xml:space="preserve"> طرح الإشكالية: </w:t>
      </w:r>
    </w:p>
    <w:p w:rsidR="00881D7E" w:rsidRPr="0080797A" w:rsidRDefault="00881D7E" w:rsidP="00881D7E">
      <w:pPr>
        <w:bidi/>
        <w:jc w:val="both"/>
        <w:rPr>
          <w:rFonts w:ascii="Simplified Arabic" w:hAnsi="Simplified Arabic" w:cs="Simplified Arabic"/>
          <w:sz w:val="32"/>
          <w:szCs w:val="32"/>
          <w:u w:val="single"/>
          <w:rtl/>
          <w:lang w:bidi="ar-DZ"/>
        </w:rPr>
      </w:pPr>
      <w:r w:rsidRPr="0080797A">
        <w:rPr>
          <w:rFonts w:ascii="Simplified Arabic" w:hAnsi="Simplified Arabic" w:cs="Simplified Arabic" w:hint="cs"/>
          <w:sz w:val="32"/>
          <w:szCs w:val="32"/>
          <w:u w:val="single"/>
          <w:rtl/>
          <w:lang w:bidi="ar-DZ"/>
        </w:rPr>
        <w:t>ما طبيعة التظلم وما هو أجله القانوني وكيف يؤثر تقديمه على آجال دعوى الإلغاء؟</w:t>
      </w:r>
    </w:p>
    <w:p w:rsidR="00881D7E" w:rsidRPr="00442BFE" w:rsidRDefault="00881D7E" w:rsidP="00881D7E">
      <w:pPr>
        <w:bidi/>
        <w:jc w:val="both"/>
        <w:rPr>
          <w:rFonts w:ascii="Simplified Arabic" w:hAnsi="Simplified Arabic" w:cs="Simplified Arabic"/>
          <w:b/>
          <w:bCs/>
          <w:sz w:val="36"/>
          <w:szCs w:val="36"/>
          <w:rtl/>
          <w:lang w:bidi="ar-DZ"/>
        </w:rPr>
      </w:pPr>
      <w:r w:rsidRPr="00442BFE">
        <w:rPr>
          <w:rFonts w:ascii="Simplified Arabic" w:hAnsi="Simplified Arabic" w:cs="Simplified Arabic" w:hint="cs"/>
          <w:b/>
          <w:bCs/>
          <w:sz w:val="36"/>
          <w:szCs w:val="36"/>
          <w:rtl/>
          <w:lang w:bidi="ar-DZ"/>
        </w:rPr>
        <w:t xml:space="preserve"> ثانيا: المرحلة التحريرية</w:t>
      </w:r>
    </w:p>
    <w:p w:rsidR="00881D7E" w:rsidRDefault="00881D7E" w:rsidP="00881D7E">
      <w:pPr>
        <w:bidi/>
        <w:jc w:val="both"/>
        <w:rPr>
          <w:rFonts w:ascii="Simplified Arabic" w:hAnsi="Simplified Arabic" w:cs="Simplified Arabic"/>
          <w:sz w:val="32"/>
          <w:szCs w:val="32"/>
          <w:rtl/>
          <w:lang w:bidi="ar-DZ"/>
        </w:rPr>
      </w:pPr>
      <w:r w:rsidRPr="00050C51">
        <w:rPr>
          <w:rFonts w:ascii="Simplified Arabic" w:hAnsi="Simplified Arabic" w:cs="Simplified Arabic" w:hint="cs"/>
          <w:b/>
          <w:bCs/>
          <w:sz w:val="32"/>
          <w:szCs w:val="32"/>
          <w:rtl/>
          <w:lang w:bidi="ar-DZ"/>
        </w:rPr>
        <w:t>مقدمة:</w:t>
      </w:r>
      <w:r>
        <w:rPr>
          <w:rFonts w:ascii="Simplified Arabic" w:hAnsi="Simplified Arabic" w:cs="Simplified Arabic" w:hint="cs"/>
          <w:sz w:val="32"/>
          <w:szCs w:val="32"/>
          <w:rtl/>
          <w:lang w:bidi="ar-DZ"/>
        </w:rPr>
        <w:t xml:space="preserve"> كان التظلم في قانون الإجراءات المدنية القديم جوازي في القرارات الإدارية التي تؤول دعاوى الإلغاء الخاصة بها أما الغرف الإدارية بالمجالس القضائية وإجباري في القرارات الإدارية التي تؤول دعاوى الإلغاء الخاصة بها أما الغرفة الإدارية بالمحكمة </w:t>
      </w:r>
      <w:r w:rsidR="0083683B">
        <w:rPr>
          <w:rFonts w:ascii="Simplified Arabic" w:hAnsi="Simplified Arabic" w:cs="Simplified Arabic" w:hint="cs"/>
          <w:sz w:val="32"/>
          <w:szCs w:val="32"/>
          <w:rtl/>
          <w:lang w:bidi="ar-DZ"/>
        </w:rPr>
        <w:t>العليا،</w:t>
      </w:r>
      <w:r>
        <w:rPr>
          <w:rFonts w:ascii="Simplified Arabic" w:hAnsi="Simplified Arabic" w:cs="Simplified Arabic" w:hint="cs"/>
          <w:sz w:val="32"/>
          <w:szCs w:val="32"/>
          <w:rtl/>
          <w:lang w:bidi="ar-DZ"/>
        </w:rPr>
        <w:t xml:space="preserve"> لكن المادة 830 من القانون الحالي للإجراءات المدني والإدارية جعلت من التظلم اختياري كأصل </w:t>
      </w:r>
      <w:r w:rsidR="0083683B">
        <w:rPr>
          <w:rFonts w:ascii="Simplified Arabic" w:hAnsi="Simplified Arabic" w:cs="Simplified Arabic" w:hint="cs"/>
          <w:sz w:val="32"/>
          <w:szCs w:val="32"/>
          <w:rtl/>
          <w:lang w:bidi="ar-DZ"/>
        </w:rPr>
        <w:t>عام،</w:t>
      </w:r>
      <w:r>
        <w:rPr>
          <w:rFonts w:ascii="Simplified Arabic" w:hAnsi="Simplified Arabic" w:cs="Simplified Arabic" w:hint="cs"/>
          <w:sz w:val="32"/>
          <w:szCs w:val="32"/>
          <w:rtl/>
          <w:lang w:bidi="ar-DZ"/>
        </w:rPr>
        <w:t xml:space="preserve"> لذلك تُطرح الإشكالية القانونية </w:t>
      </w:r>
      <w:r w:rsidR="0083683B">
        <w:rPr>
          <w:rFonts w:ascii="Simplified Arabic" w:hAnsi="Simplified Arabic" w:cs="Simplified Arabic" w:hint="cs"/>
          <w:sz w:val="32"/>
          <w:szCs w:val="32"/>
          <w:rtl/>
          <w:lang w:bidi="ar-DZ"/>
        </w:rPr>
        <w:t>التالية:</w:t>
      </w:r>
      <w:r>
        <w:rPr>
          <w:rFonts w:ascii="Simplified Arabic" w:hAnsi="Simplified Arabic" w:cs="Simplified Arabic" w:hint="cs"/>
          <w:sz w:val="32"/>
          <w:szCs w:val="32"/>
          <w:rtl/>
          <w:lang w:bidi="ar-DZ"/>
        </w:rPr>
        <w:t xml:space="preserve"> ما طبيعة التظلم وما هو أجل تقديمه وكيف يؤثر تقديمه على آجال دعوى </w:t>
      </w:r>
      <w:r w:rsidR="0083683B">
        <w:rPr>
          <w:rFonts w:ascii="Simplified Arabic" w:hAnsi="Simplified Arabic" w:cs="Simplified Arabic" w:hint="cs"/>
          <w:sz w:val="32"/>
          <w:szCs w:val="32"/>
          <w:rtl/>
          <w:lang w:bidi="ar-DZ"/>
        </w:rPr>
        <w:t>الإلغاء؟</w:t>
      </w:r>
    </w:p>
    <w:p w:rsidR="00881D7E" w:rsidRDefault="00881D7E" w:rsidP="00881D7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للإجابة على هذه الإشكالية يتم اقتراح الخطة التالية:</w:t>
      </w:r>
    </w:p>
    <w:p w:rsidR="00881D7E" w:rsidRDefault="00881D7E"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المبحث الأول: التظلم بين الطبيعة</w:t>
      </w:r>
      <w:r w:rsidR="009D1787">
        <w:rPr>
          <w:rFonts w:ascii="Simplified Arabic" w:hAnsi="Simplified Arabic" w:cs="Simplified Arabic" w:hint="cs"/>
          <w:sz w:val="32"/>
          <w:szCs w:val="32"/>
          <w:rtl/>
          <w:lang w:bidi="ar-DZ"/>
        </w:rPr>
        <w:t xml:space="preserve"> القانونية والأجل القانوني </w:t>
      </w:r>
    </w:p>
    <w:p w:rsidR="00881D7E" w:rsidRDefault="00881D7E"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المطلب الأول: مفهوم التظلم </w:t>
      </w:r>
    </w:p>
    <w:p w:rsidR="00881D7E" w:rsidRDefault="00881D7E"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الفرع الأول: تعريف التظلم وخصائصه</w:t>
      </w:r>
    </w:p>
    <w:p w:rsidR="00881D7E" w:rsidRDefault="00881D7E"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الفرع الثاني: أنواع التظلم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الولائي- الرئاسي</w:t>
      </w:r>
      <w:r>
        <w:rPr>
          <w:rFonts w:ascii="Simplified Arabic" w:hAnsi="Simplified Arabic" w:cs="Simplified Arabic"/>
          <w:sz w:val="32"/>
          <w:szCs w:val="32"/>
          <w:lang w:bidi="ar-DZ"/>
        </w:rPr>
        <w:t>(</w:t>
      </w:r>
    </w:p>
    <w:p w:rsidR="009D1787" w:rsidRDefault="009D1787" w:rsidP="009D1787">
      <w:pPr>
        <w:bidi/>
        <w:spacing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المطلب الثاني: الأجل القانوني</w:t>
      </w:r>
      <w:bookmarkStart w:id="0" w:name="_GoBack"/>
      <w:bookmarkEnd w:id="0"/>
    </w:p>
    <w:p w:rsidR="00881D7E" w:rsidRDefault="00881D7E"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المبحث الثاني: تأثير تقديم التظلم على آجال دعوى الإلغاء وإثبات تقديمه</w:t>
      </w:r>
    </w:p>
    <w:p w:rsidR="00881D7E" w:rsidRDefault="00881D7E"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المطلب الأول: مدى التأثير على آجال دعوى الإلغاء</w:t>
      </w:r>
    </w:p>
    <w:p w:rsidR="00881D7E" w:rsidRDefault="00881D7E"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الفرع الأول: في حالة سكوت الجهة الإدارية المتظلم أمامها</w:t>
      </w:r>
    </w:p>
    <w:p w:rsidR="009D1787" w:rsidRDefault="009D1787" w:rsidP="009D178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الفرع </w:t>
      </w:r>
      <w:r>
        <w:rPr>
          <w:rFonts w:ascii="Simplified Arabic" w:hAnsi="Simplified Arabic" w:cs="Simplified Arabic" w:hint="cs"/>
          <w:sz w:val="32"/>
          <w:szCs w:val="32"/>
          <w:rtl/>
          <w:lang w:bidi="ar-DZ"/>
        </w:rPr>
        <w:t>الثاني</w:t>
      </w:r>
      <w:r>
        <w:rPr>
          <w:rFonts w:ascii="Simplified Arabic" w:hAnsi="Simplified Arabic" w:cs="Simplified Arabic" w:hint="cs"/>
          <w:sz w:val="32"/>
          <w:szCs w:val="32"/>
          <w:rtl/>
          <w:lang w:bidi="ar-DZ"/>
        </w:rPr>
        <w:t xml:space="preserve">: في حالة </w:t>
      </w:r>
      <w:r>
        <w:rPr>
          <w:rFonts w:ascii="Simplified Arabic" w:hAnsi="Simplified Arabic" w:cs="Simplified Arabic" w:hint="cs"/>
          <w:sz w:val="32"/>
          <w:szCs w:val="32"/>
          <w:rtl/>
          <w:lang w:bidi="ar-DZ"/>
        </w:rPr>
        <w:t>الرفض الصريح من</w:t>
      </w:r>
      <w:r>
        <w:rPr>
          <w:rFonts w:ascii="Simplified Arabic" w:hAnsi="Simplified Arabic" w:cs="Simplified Arabic" w:hint="cs"/>
          <w:sz w:val="32"/>
          <w:szCs w:val="32"/>
          <w:rtl/>
          <w:lang w:bidi="ar-DZ"/>
        </w:rPr>
        <w:t xml:space="preserve"> الجهة الإدارية المتظلم أمامها</w:t>
      </w:r>
    </w:p>
    <w:p w:rsidR="00881D7E" w:rsidRDefault="009D1787"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المطلب الثاني</w:t>
      </w:r>
      <w:r w:rsidR="00881D7E">
        <w:rPr>
          <w:rFonts w:ascii="Simplified Arabic" w:hAnsi="Simplified Arabic" w:cs="Simplified Arabic" w:hint="cs"/>
          <w:sz w:val="32"/>
          <w:szCs w:val="32"/>
          <w:rtl/>
          <w:lang w:bidi="ar-DZ"/>
        </w:rPr>
        <w:t>: كيفية إثبات تقديم التظلم.</w:t>
      </w:r>
    </w:p>
    <w:p w:rsidR="00881D7E" w:rsidRPr="007D1FBE" w:rsidRDefault="00881D7E" w:rsidP="00881D7E">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الخاتمة</w:t>
      </w:r>
    </w:p>
    <w:p w:rsidR="008B431B" w:rsidRPr="00191FA1" w:rsidRDefault="008B431B" w:rsidP="00191FA1">
      <w:pPr>
        <w:bidi/>
        <w:spacing w:after="0" w:line="240" w:lineRule="auto"/>
        <w:jc w:val="lowKashida"/>
        <w:rPr>
          <w:rFonts w:ascii="Sakkal Majalla" w:hAnsi="Sakkal Majalla" w:cs="Sakkal Majalla"/>
          <w:b/>
          <w:bCs/>
          <w:color w:val="FF0000"/>
          <w:sz w:val="36"/>
          <w:szCs w:val="36"/>
          <w:rtl/>
          <w:lang w:bidi="ar-DZ"/>
        </w:rPr>
      </w:pPr>
    </w:p>
    <w:sectPr w:rsidR="008B431B" w:rsidRPr="00191FA1" w:rsidSect="000C6C8A">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DAC" w:rsidRDefault="00405DAC" w:rsidP="00DB70CA">
      <w:pPr>
        <w:spacing w:after="0" w:line="240" w:lineRule="auto"/>
      </w:pPr>
      <w:r>
        <w:separator/>
      </w:r>
    </w:p>
  </w:endnote>
  <w:endnote w:type="continuationSeparator" w:id="0">
    <w:p w:rsidR="00405DAC" w:rsidRDefault="00405DAC" w:rsidP="00DB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DAC" w:rsidRDefault="00405DAC" w:rsidP="00DB70CA">
      <w:pPr>
        <w:spacing w:after="0" w:line="240" w:lineRule="auto"/>
      </w:pPr>
      <w:r>
        <w:separator/>
      </w:r>
    </w:p>
  </w:footnote>
  <w:footnote w:type="continuationSeparator" w:id="0">
    <w:p w:rsidR="00405DAC" w:rsidRDefault="00405DAC" w:rsidP="00DB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5B0"/>
    <w:multiLevelType w:val="hybridMultilevel"/>
    <w:tmpl w:val="2EEC587C"/>
    <w:lvl w:ilvl="0" w:tplc="988CCD86">
      <w:start w:val="1"/>
      <w:numFmt w:val="bullet"/>
      <w:lvlText w:val=""/>
      <w:lvlJc w:val="left"/>
      <w:pPr>
        <w:ind w:left="720" w:hanging="360"/>
      </w:pPr>
      <w:rPr>
        <w:rFonts w:ascii="Symbol" w:eastAsiaTheme="minorHAnsi" w:hAnsi="Symbol" w:cs="Simplified Arabic"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8"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1"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5"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6"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8"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2EE61C7"/>
    <w:multiLevelType w:val="hybridMultilevel"/>
    <w:tmpl w:val="18DAD97C"/>
    <w:lvl w:ilvl="0" w:tplc="D58029B2">
      <w:start w:val="1"/>
      <w:numFmt w:val="decimal"/>
      <w:lvlText w:val="%1-"/>
      <w:lvlJc w:val="left"/>
      <w:pPr>
        <w:tabs>
          <w:tab w:val="num" w:pos="284"/>
        </w:tabs>
        <w:ind w:left="284"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num w:numId="1">
    <w:abstractNumId w:val="12"/>
  </w:num>
  <w:num w:numId="2">
    <w:abstractNumId w:val="15"/>
  </w:num>
  <w:num w:numId="3">
    <w:abstractNumId w:val="10"/>
  </w:num>
  <w:num w:numId="4">
    <w:abstractNumId w:val="17"/>
  </w:num>
  <w:num w:numId="5">
    <w:abstractNumId w:val="14"/>
  </w:num>
  <w:num w:numId="6">
    <w:abstractNumId w:val="7"/>
  </w:num>
  <w:num w:numId="7">
    <w:abstractNumId w:val="5"/>
  </w:num>
  <w:num w:numId="8">
    <w:abstractNumId w:val="9"/>
  </w:num>
  <w:num w:numId="9">
    <w:abstractNumId w:val="21"/>
  </w:num>
  <w:num w:numId="10">
    <w:abstractNumId w:val="19"/>
  </w:num>
  <w:num w:numId="11">
    <w:abstractNumId w:val="1"/>
  </w:num>
  <w:num w:numId="12">
    <w:abstractNumId w:val="8"/>
  </w:num>
  <w:num w:numId="13">
    <w:abstractNumId w:val="11"/>
  </w:num>
  <w:num w:numId="14">
    <w:abstractNumId w:val="18"/>
  </w:num>
  <w:num w:numId="15">
    <w:abstractNumId w:val="4"/>
  </w:num>
  <w:num w:numId="16">
    <w:abstractNumId w:val="16"/>
  </w:num>
  <w:num w:numId="17">
    <w:abstractNumId w:val="6"/>
  </w:num>
  <w:num w:numId="18">
    <w:abstractNumId w:val="13"/>
  </w:num>
  <w:num w:numId="19">
    <w:abstractNumId w:val="3"/>
  </w:num>
  <w:num w:numId="20">
    <w:abstractNumId w:val="2"/>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A82FEF"/>
    <w:rsid w:val="00003208"/>
    <w:rsid w:val="000049EB"/>
    <w:rsid w:val="000201E0"/>
    <w:rsid w:val="0004798E"/>
    <w:rsid w:val="000A2BA8"/>
    <w:rsid w:val="000C6C8A"/>
    <w:rsid w:val="000F2A55"/>
    <w:rsid w:val="0010071D"/>
    <w:rsid w:val="001102B7"/>
    <w:rsid w:val="00132564"/>
    <w:rsid w:val="00136E5C"/>
    <w:rsid w:val="001408EE"/>
    <w:rsid w:val="00191FA1"/>
    <w:rsid w:val="001A4636"/>
    <w:rsid w:val="001C125A"/>
    <w:rsid w:val="001C7C3B"/>
    <w:rsid w:val="001D2158"/>
    <w:rsid w:val="00213D9C"/>
    <w:rsid w:val="002242D9"/>
    <w:rsid w:val="002279C2"/>
    <w:rsid w:val="0029637A"/>
    <w:rsid w:val="002C0167"/>
    <w:rsid w:val="002E57F5"/>
    <w:rsid w:val="00305524"/>
    <w:rsid w:val="00322220"/>
    <w:rsid w:val="0032781D"/>
    <w:rsid w:val="003636A4"/>
    <w:rsid w:val="00376453"/>
    <w:rsid w:val="003A52F6"/>
    <w:rsid w:val="003D0078"/>
    <w:rsid w:val="00405DAC"/>
    <w:rsid w:val="0042226A"/>
    <w:rsid w:val="00452279"/>
    <w:rsid w:val="00462974"/>
    <w:rsid w:val="004E223D"/>
    <w:rsid w:val="00500664"/>
    <w:rsid w:val="00502084"/>
    <w:rsid w:val="00512E7F"/>
    <w:rsid w:val="005303D5"/>
    <w:rsid w:val="00570942"/>
    <w:rsid w:val="005810DA"/>
    <w:rsid w:val="00582CC4"/>
    <w:rsid w:val="005C1463"/>
    <w:rsid w:val="005E0983"/>
    <w:rsid w:val="005E2C4F"/>
    <w:rsid w:val="006205AC"/>
    <w:rsid w:val="00620EB8"/>
    <w:rsid w:val="00622E8D"/>
    <w:rsid w:val="006239DF"/>
    <w:rsid w:val="00634AAC"/>
    <w:rsid w:val="006430C4"/>
    <w:rsid w:val="0066492F"/>
    <w:rsid w:val="00666519"/>
    <w:rsid w:val="00682474"/>
    <w:rsid w:val="00695454"/>
    <w:rsid w:val="006E32F3"/>
    <w:rsid w:val="00701327"/>
    <w:rsid w:val="0076096A"/>
    <w:rsid w:val="00774087"/>
    <w:rsid w:val="007816C2"/>
    <w:rsid w:val="00782C8D"/>
    <w:rsid w:val="007B24BC"/>
    <w:rsid w:val="007E6861"/>
    <w:rsid w:val="007F1989"/>
    <w:rsid w:val="0083683B"/>
    <w:rsid w:val="008464BA"/>
    <w:rsid w:val="00881D7E"/>
    <w:rsid w:val="00897C88"/>
    <w:rsid w:val="008B431B"/>
    <w:rsid w:val="00901651"/>
    <w:rsid w:val="00923181"/>
    <w:rsid w:val="009445C7"/>
    <w:rsid w:val="00947DEC"/>
    <w:rsid w:val="00985D83"/>
    <w:rsid w:val="00993621"/>
    <w:rsid w:val="009B076B"/>
    <w:rsid w:val="009B6673"/>
    <w:rsid w:val="009C0EB9"/>
    <w:rsid w:val="009D1787"/>
    <w:rsid w:val="009E3CF7"/>
    <w:rsid w:val="009F7B2C"/>
    <w:rsid w:val="00A41C75"/>
    <w:rsid w:val="00A56635"/>
    <w:rsid w:val="00A6233A"/>
    <w:rsid w:val="00A662B2"/>
    <w:rsid w:val="00A6664E"/>
    <w:rsid w:val="00A82FEF"/>
    <w:rsid w:val="00A9718A"/>
    <w:rsid w:val="00AD67FD"/>
    <w:rsid w:val="00B00129"/>
    <w:rsid w:val="00B27C90"/>
    <w:rsid w:val="00B345AA"/>
    <w:rsid w:val="00B34D26"/>
    <w:rsid w:val="00B56B94"/>
    <w:rsid w:val="00B60A7A"/>
    <w:rsid w:val="00B67F24"/>
    <w:rsid w:val="00B735AA"/>
    <w:rsid w:val="00BB2EFF"/>
    <w:rsid w:val="00BC7671"/>
    <w:rsid w:val="00BE0A6C"/>
    <w:rsid w:val="00C3299D"/>
    <w:rsid w:val="00C3750D"/>
    <w:rsid w:val="00C55F88"/>
    <w:rsid w:val="00C746D5"/>
    <w:rsid w:val="00CA0BE2"/>
    <w:rsid w:val="00CE75E6"/>
    <w:rsid w:val="00D1511F"/>
    <w:rsid w:val="00D264BE"/>
    <w:rsid w:val="00DA3155"/>
    <w:rsid w:val="00DB0B74"/>
    <w:rsid w:val="00DB70CA"/>
    <w:rsid w:val="00DB7414"/>
    <w:rsid w:val="00DE48E9"/>
    <w:rsid w:val="00DF36BA"/>
    <w:rsid w:val="00E65EDC"/>
    <w:rsid w:val="00E83EA7"/>
    <w:rsid w:val="00F20E3D"/>
    <w:rsid w:val="00F2709B"/>
    <w:rsid w:val="00F67977"/>
    <w:rsid w:val="00F729DB"/>
    <w:rsid w:val="00F75F20"/>
    <w:rsid w:val="00F956DA"/>
    <w:rsid w:val="00FC7683"/>
    <w:rsid w:val="00FD41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42F6D646"/>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D9"/>
  </w:style>
  <w:style w:type="paragraph" w:styleId="1">
    <w:name w:val="heading 1"/>
    <w:basedOn w:val="a"/>
    <w:next w:val="a"/>
    <w:link w:val="1Char"/>
    <w:uiPriority w:val="9"/>
    <w:qFormat/>
    <w:rsid w:val="000201E0"/>
    <w:pPr>
      <w:keepNext/>
      <w:keepLines/>
      <w:spacing w:before="240" w:after="0"/>
      <w:outlineLvl w:val="0"/>
    </w:pPr>
    <w:rPr>
      <w:rFonts w:asciiTheme="majorHAnsi" w:eastAsiaTheme="majorEastAsia" w:hAnsiTheme="majorHAnsi" w:cstheme="majorBidi"/>
      <w:color w:val="365F91" w:themeColor="accent1" w:themeShade="BF"/>
      <w:sz w:val="32"/>
      <w:szCs w:val="32"/>
      <w:lang w:val="en-GB" w:eastAsia="en-US"/>
    </w:rPr>
  </w:style>
  <w:style w:type="paragraph" w:styleId="2">
    <w:name w:val="heading 2"/>
    <w:basedOn w:val="a"/>
    <w:next w:val="a"/>
    <w:link w:val="2Char"/>
    <w:uiPriority w:val="9"/>
    <w:unhideWhenUsed/>
    <w:qFormat/>
    <w:rsid w:val="00DB70CA"/>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DB70CA"/>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0201E0"/>
    <w:rPr>
      <w:rFonts w:asciiTheme="majorHAnsi" w:eastAsiaTheme="majorEastAsia" w:hAnsiTheme="majorHAnsi" w:cstheme="majorBidi"/>
      <w:color w:val="365F91" w:themeColor="accent1" w:themeShade="BF"/>
      <w:sz w:val="32"/>
      <w:szCs w:val="32"/>
      <w:lang w:val="en-GB" w:eastAsia="en-US"/>
    </w:rPr>
  </w:style>
  <w:style w:type="character" w:customStyle="1" w:styleId="2Char">
    <w:name w:val="عنوان 2 Char"/>
    <w:basedOn w:val="a0"/>
    <w:link w:val="2"/>
    <w:uiPriority w:val="9"/>
    <w:rsid w:val="00DB70CA"/>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DB70CA"/>
    <w:rPr>
      <w:rFonts w:asciiTheme="majorHAnsi" w:eastAsiaTheme="majorEastAsia" w:hAnsiTheme="majorHAnsi" w:cstheme="majorBidi"/>
      <w:color w:val="243F60" w:themeColor="accent1" w:themeShade="7F"/>
      <w:sz w:val="24"/>
      <w:szCs w:val="24"/>
      <w:lang w:val="en-GB" w:eastAsia="en-US"/>
    </w:rPr>
  </w:style>
  <w:style w:type="paragraph" w:styleId="a6">
    <w:name w:val="footnote text"/>
    <w:basedOn w:val="a"/>
    <w:link w:val="Char0"/>
    <w:uiPriority w:val="99"/>
    <w:unhideWhenUsed/>
    <w:rsid w:val="00DB70CA"/>
    <w:pPr>
      <w:spacing w:after="0" w:line="240" w:lineRule="auto"/>
    </w:pPr>
    <w:rPr>
      <w:rFonts w:eastAsiaTheme="minorHAnsi"/>
      <w:sz w:val="20"/>
      <w:szCs w:val="20"/>
      <w:lang w:val="en-GB" w:eastAsia="en-US"/>
    </w:rPr>
  </w:style>
  <w:style w:type="character" w:customStyle="1" w:styleId="Char0">
    <w:name w:val="نص حاشية سفلية Char"/>
    <w:basedOn w:val="a0"/>
    <w:link w:val="a6"/>
    <w:uiPriority w:val="99"/>
    <w:rsid w:val="00DB70CA"/>
    <w:rPr>
      <w:rFonts w:eastAsiaTheme="minorHAnsi"/>
      <w:sz w:val="20"/>
      <w:szCs w:val="20"/>
      <w:lang w:val="en-GB" w:eastAsia="en-US"/>
    </w:rPr>
  </w:style>
  <w:style w:type="character" w:styleId="a7">
    <w:name w:val="footnote reference"/>
    <w:basedOn w:val="a0"/>
    <w:uiPriority w:val="99"/>
    <w:unhideWhenUsed/>
    <w:rsid w:val="00DB70CA"/>
    <w:rPr>
      <w:rFonts w:ascii="Simplified Arabic" w:hAnsi="Simplified Arabic" w:cs="Simplified Arabic"/>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BFDF4-84B5-446E-B2C6-310237F1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4</Pages>
  <Words>625</Words>
  <Characters>3567</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61</cp:revision>
  <dcterms:created xsi:type="dcterms:W3CDTF">2020-04-14T15:31:00Z</dcterms:created>
  <dcterms:modified xsi:type="dcterms:W3CDTF">2024-04-26T05:46:00Z</dcterms:modified>
</cp:coreProperties>
</file>