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5E" w:rsidRDefault="002B2CAA" w:rsidP="002B2CA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الأستاذة وهيبة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بوشليق</w:t>
      </w:r>
      <w:proofErr w:type="spellEnd"/>
    </w:p>
    <w:p w:rsidR="002B2CAA" w:rsidRDefault="002B2CAA" w:rsidP="002B2CA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ماستر1 لسانيات، الفوج 1</w:t>
      </w:r>
    </w:p>
    <w:p w:rsidR="002B2CAA" w:rsidRDefault="002B2CAA" w:rsidP="002B2CA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مدارس لسانية:</w:t>
      </w:r>
    </w:p>
    <w:p w:rsidR="002B2CAA" w:rsidRDefault="002B2CAA" w:rsidP="002B2CA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إكمال درس المدرسة الوظيفية:</w:t>
      </w:r>
    </w:p>
    <w:p w:rsidR="002B2CAA" w:rsidRPr="005E72B9" w:rsidRDefault="002B2CAA" w:rsidP="002B2CAA">
      <w:pPr>
        <w:bidi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5E72B9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الوظائف عند </w:t>
      </w:r>
      <w:proofErr w:type="spellStart"/>
      <w:r w:rsidRPr="005E72B9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جاكبسون</w:t>
      </w:r>
      <w:proofErr w:type="spellEnd"/>
      <w:r w:rsidRPr="005E72B9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</w:t>
      </w:r>
    </w:p>
    <w:p w:rsidR="002B2CAA" w:rsidRDefault="002B2CAA" w:rsidP="004568F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مكونات العملية التواصلية عند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جاكبسون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محصورة في ستة عناصر</w:t>
      </w:r>
      <w:r w:rsidR="004568F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وهي :</w:t>
      </w:r>
    </w:p>
    <w:p w:rsidR="005E72B9" w:rsidRDefault="002B2CAA" w:rsidP="005E72B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1-المرسل، 2-المرسل إليه، 3-المرجع، 4-القناة، والمقصود بالقناة هنا الوسيلة التي تُنقل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الرسالة من المتكلم إلى المستمع،5-السنن: وهو مجموع العلامات لغوية وغير لغوية التي تتشكل منها الرسالة، وكذلك نظام تأليفها التركيبين أي قواعد تركيبية لغوية إذا كان الخطاب لغويا، كالألفاظ والأدوات والأساليب</w:t>
      </w:r>
      <w:r w:rsidR="005E72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...الخ، والقواعد غير اللغوية تخص الخطاب غير اللغوي كإشارات المرور، والألوان والظلال في لوحة فنية مثلا...الخ.6- الرسالة.</w:t>
      </w:r>
    </w:p>
    <w:p w:rsidR="004568F9" w:rsidRDefault="004568F9" w:rsidP="004568F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ربط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جاكبسون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كل عنصر من العناصر السابقة بوظيفة معينة نابعة من النظام اللغوي( أي تؤد</w:t>
      </w:r>
      <w:r w:rsidR="008E445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يها اللغة في إطارها التواصلي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التبليغي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 وهذه الوظائف ستة:</w:t>
      </w:r>
    </w:p>
    <w:p w:rsidR="008E4450" w:rsidRDefault="008E4450" w:rsidP="008E4450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الوظيفة المرجعيّة</w:t>
      </w:r>
      <w:r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(</w:t>
      </w:r>
      <w:r>
        <w:rPr>
          <w:rFonts w:ascii="Simplified Arabic" w:hAnsi="Simplified Arabic" w:cs="Simplified Arabic"/>
          <w:sz w:val="24"/>
          <w:szCs w:val="24"/>
          <w:u w:val="single"/>
          <w:lang w:bidi="ar-DZ"/>
        </w:rPr>
        <w:t>Référentielle</w:t>
      </w:r>
      <w:r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عند "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جاكبسون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" هي أن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«يعبّر الملفوظ عن العالم وينجز رؤية نحو المرجع</w:t>
      </w:r>
      <w:r>
        <w:rPr>
          <w:rFonts w:ascii="Simplified Arabic" w:hAnsi="Simplified Arabic" w:cs="Simplified Arabic"/>
          <w:sz w:val="24"/>
          <w:szCs w:val="24"/>
          <w:rtl/>
        </w:rPr>
        <w:t>(</w:t>
      </w:r>
      <w:r>
        <w:rPr>
          <w:rFonts w:ascii="Simplified Arabic" w:hAnsi="Simplified Arabic" w:cs="Simplified Arabic"/>
          <w:sz w:val="24"/>
          <w:szCs w:val="24"/>
        </w:rPr>
        <w:t>référent</w:t>
      </w:r>
      <w:r>
        <w:rPr>
          <w:rFonts w:ascii="Simplified Arabic" w:hAnsi="Simplified Arabic" w:cs="Simplified Arabic"/>
          <w:sz w:val="24"/>
          <w:szCs w:val="24"/>
          <w:rtl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»</w:t>
      </w:r>
      <w:r w:rsidRPr="008E4450">
        <w:rPr>
          <w:rFonts w:ascii="Simplified Arabic" w:hAnsi="Simplified Arabic" w:cs="Simplified Arabic"/>
          <w:sz w:val="24"/>
          <w:szCs w:val="24"/>
        </w:rPr>
        <w:t>( Jacobson ;R .Essais de linguistique générale)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B605BB" w:rsidRDefault="008E4450" w:rsidP="00FE3E92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شرح: تؤدي هذه الوظيفة أغلب الخطابات</w:t>
      </w:r>
      <w:r w:rsidR="00760F30">
        <w:rPr>
          <w:rFonts w:ascii="Simplified Arabic" w:hAnsi="Simplified Arabic" w:cs="Simplified Arabic" w:hint="cs"/>
          <w:sz w:val="32"/>
          <w:szCs w:val="32"/>
          <w:rtl/>
        </w:rPr>
        <w:t>، وفيها تحيل اللغة على أغلب الأشياء والموجودات في العالم الخارجي، إضافة إلى أنها تمكننا من معرفة المرجعيات</w:t>
      </w:r>
      <w:r w:rsidR="00FE3E92">
        <w:rPr>
          <w:rFonts w:ascii="Simplified Arabic" w:hAnsi="Simplified Arabic" w:cs="Simplified Arabic" w:hint="cs"/>
          <w:sz w:val="32"/>
          <w:szCs w:val="32"/>
          <w:rtl/>
        </w:rPr>
        <w:t xml:space="preserve"> المعرفية والثقافية والحضارية التي ينطلق منها المرسل في تبليغ رسائله في مختلف الظروف والمقامات التي يتواجد فيها، وهي وظيفة ترتبط أو تتأسس على السياق.</w:t>
      </w:r>
    </w:p>
    <w:p w:rsidR="002D3403" w:rsidRDefault="002D3403" w:rsidP="002D3403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الوظيفة التعبيرية أو الانفعالية(</w:t>
      </w:r>
      <w:r>
        <w:rPr>
          <w:rFonts w:ascii="Simplified Arabic" w:hAnsi="Simplified Arabic" w:cs="Simplified Arabic"/>
          <w:sz w:val="32"/>
          <w:szCs w:val="32"/>
          <w:u w:val="single"/>
          <w:lang w:bidi="ar-DZ"/>
        </w:rPr>
        <w:t>expressive ou émotive</w:t>
      </w:r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)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جاكبسون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« تستهدف التعبير المباشر عن موقف المتكلّم اتّجاه ما يتحدث عنه» </w:t>
      </w:r>
      <w:r w:rsidRPr="002D3403">
        <w:rPr>
          <w:rFonts w:ascii="Simplified Arabic" w:hAnsi="Simplified Arabic" w:cs="Simplified Arabic"/>
          <w:sz w:val="24"/>
          <w:szCs w:val="24"/>
          <w:rtl/>
          <w:lang w:bidi="ar-DZ"/>
        </w:rPr>
        <w:t>(من كتاب النظريات اللسانية الكبرى)</w:t>
      </w:r>
    </w:p>
    <w:p w:rsidR="002D3403" w:rsidRDefault="002D3403" w:rsidP="002D3403">
      <w:p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شرح:</w:t>
      </w:r>
    </w:p>
    <w:p w:rsidR="002D3403" w:rsidRDefault="002D3403" w:rsidP="002D340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D340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خاصة بالمرس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ِ</w:t>
      </w:r>
      <w:r w:rsidRPr="002D340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فتعبر عن عواطفه ومواقفه اتجاه قضية ما، ويتجلى </w:t>
      </w:r>
    </w:p>
    <w:p w:rsidR="002D3403" w:rsidRDefault="002D3403" w:rsidP="002D340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ذلك في طريقة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الأداءأ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في أدوات لغوية تفيد الانفعال...الخ</w:t>
      </w:r>
    </w:p>
    <w:p w:rsidR="002D3403" w:rsidRDefault="002D3403" w:rsidP="002D340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lastRenderedPageBreak/>
        <w:t xml:space="preserve">الوظيفة </w:t>
      </w:r>
      <w:proofErr w:type="spellStart"/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النزوعية</w:t>
      </w:r>
      <w:proofErr w:type="spellEnd"/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الإفهامية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«وهي موجهة نحو المرسل إليه: فالملفوظ غايته التأثير على المُحاوِر».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خاصة بالمرسل إليه، وتتجسد في التعبير عنها بكل الأساليب، كالأمر وصيغ النداء، مثل: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يارفيقي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اخواني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المواطنين، أيها......</w:t>
      </w:r>
    </w:p>
    <w:p w:rsidR="00905C84" w:rsidRDefault="00905C84" w:rsidP="00905C84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الوظيفة اللّغوية(</w:t>
      </w:r>
      <w:r>
        <w:rPr>
          <w:rFonts w:ascii="Simplified Arabic" w:hAnsi="Simplified Arabic" w:cs="Simplified Arabic"/>
          <w:sz w:val="32"/>
          <w:szCs w:val="32"/>
          <w:u w:val="single"/>
          <w:lang w:bidi="ar-DZ"/>
        </w:rPr>
        <w:t>phatique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)(</w:t>
      </w:r>
      <w:proofErr w:type="spellStart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الانتباهية</w:t>
      </w:r>
      <w:proofErr w:type="spellEnd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التوكيدية</w:t>
      </w:r>
      <w:proofErr w:type="spellEnd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«فالملفوظ يعبّر عن الاتّصال الحاصل بين المتكلم والمخاطب، والمقصود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جاكبسون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رسالة تستعمل:" أساسا لإقامة أو تمديد أو قطع الاتصال، والتحقق من كون قناة التواصل تعمل...ولإثارة انتباه المخاطب أو التأكد من أنه لم ينسحب"» </w:t>
      </w:r>
      <w:r w:rsidRPr="00905C8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منقول من كتاب(النظريات اللسانية الكبرى من النحو المقارن إل </w:t>
      </w:r>
      <w:proofErr w:type="spellStart"/>
      <w:r w:rsidRPr="00905C84">
        <w:rPr>
          <w:rFonts w:ascii="Simplified Arabic" w:hAnsi="Simplified Arabic" w:cs="Simplified Arabic"/>
          <w:sz w:val="24"/>
          <w:szCs w:val="24"/>
          <w:rtl/>
          <w:lang w:bidi="ar-DZ"/>
        </w:rPr>
        <w:t>الذرائعية</w:t>
      </w:r>
      <w:proofErr w:type="spellEnd"/>
      <w:r w:rsidRPr="00905C84">
        <w:rPr>
          <w:rFonts w:ascii="Simplified Arabic" w:hAnsi="Simplified Arabic" w:cs="Simplified Arabic"/>
          <w:sz w:val="24"/>
          <w:szCs w:val="24"/>
          <w:rtl/>
          <w:lang w:bidi="ar-DZ"/>
        </w:rPr>
        <w:t>).</w:t>
      </w:r>
    </w:p>
    <w:p w:rsidR="00D779DC" w:rsidRDefault="00905C84" w:rsidP="00D779D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05C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خاصة بقناة الت</w:t>
      </w:r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905C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خاطب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فيحرص </w:t>
      </w:r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المتكلّم على إبقائها بينه وبين السامع ، فيعمل على التأكّد أن </w:t>
      </w:r>
      <w:proofErr w:type="spellStart"/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التبيلغ</w:t>
      </w:r>
      <w:proofErr w:type="spellEnd"/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يتم في ظروف حسنة وبنجاح، ومن </w:t>
      </w:r>
      <w:proofErr w:type="spellStart"/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امثلتهاالمجال</w:t>
      </w:r>
      <w:proofErr w:type="spellEnd"/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التعليمي، حيث يحرص المعلم على جلب انتباه المتعلمين ويستعمل أساليب لغوية للحفاظ </w:t>
      </w:r>
      <w:proofErr w:type="spellStart"/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عللى</w:t>
      </w:r>
      <w:proofErr w:type="spellEnd"/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استمرار التخاطب أثناء </w:t>
      </w:r>
      <w:proofErr w:type="spellStart"/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حصىة</w:t>
      </w:r>
      <w:proofErr w:type="spellEnd"/>
      <w:r w:rsidR="00D779D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الدرس حتى لا يتشتت انتباههم .</w:t>
      </w:r>
    </w:p>
    <w:p w:rsidR="009614EC" w:rsidRPr="008F706F" w:rsidRDefault="009614EC" w:rsidP="009614EC">
      <w:p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الوظيفة </w:t>
      </w:r>
      <w:proofErr w:type="spellStart"/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الميتالغوية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:(</w:t>
      </w:r>
      <w:r>
        <w:rPr>
          <w:rFonts w:ascii="Simplified Arabic" w:hAnsi="Simplified Arabic" w:cs="Simplified Arabic"/>
          <w:sz w:val="32"/>
          <w:szCs w:val="32"/>
          <w:lang w:bidi="ar-DZ"/>
        </w:rPr>
        <w:t>métalinguistique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): «يقدم الملفوظ معلومات(توضيح، تفسير، شرح) حول الكيفية التي أُنتِج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وحول الشفرة التي تمّ بموجبها، وفي هذا يقول "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جاكبسون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": "ففي كلّ مرة يرى المرسل/ المرسل إليه أنه من الضروري التحقّق من كونهما يستعملان الشفرة فعلا، فإن الخطاب يكون حينئذ متمركزا حول الشفرة: إذ يقوم بوظيفة ميتا لغوية(أو تفسيرية)"» منقول من كتاب</w:t>
      </w:r>
      <w:r w:rsidRPr="008F706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(النظريات اللسانية الكبرى من النحو المقارن إل </w:t>
      </w:r>
      <w:proofErr w:type="spellStart"/>
      <w:r w:rsidRPr="008F706F">
        <w:rPr>
          <w:rFonts w:ascii="Simplified Arabic" w:hAnsi="Simplified Arabic" w:cs="Simplified Arabic"/>
          <w:sz w:val="24"/>
          <w:szCs w:val="24"/>
          <w:rtl/>
          <w:lang w:bidi="ar-DZ"/>
        </w:rPr>
        <w:t>الذرائعية</w:t>
      </w:r>
      <w:proofErr w:type="spellEnd"/>
      <w:r w:rsidRPr="008F706F">
        <w:rPr>
          <w:rFonts w:ascii="Simplified Arabic" w:hAnsi="Simplified Arabic" w:cs="Simplified Arabic"/>
          <w:sz w:val="24"/>
          <w:szCs w:val="24"/>
          <w:rtl/>
          <w:lang w:bidi="ar-DZ"/>
        </w:rPr>
        <w:t>).</w:t>
      </w:r>
    </w:p>
    <w:p w:rsidR="008F706F" w:rsidRDefault="008F706F" w:rsidP="008F706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F70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شرح: خاصة بالسنن أو الوضع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أي الشفرة، إذ يجب أن تكون نفسها بين المتخاطبين، وهي تفسر بعض ما يتعلق الخطاب، كتحليل الناقد لنص أدبي والعمل على فك شفراته.</w:t>
      </w:r>
    </w:p>
    <w:p w:rsidR="00071A86" w:rsidRDefault="00071A86" w:rsidP="00071A86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الوظيفة الشعرية:(</w:t>
      </w:r>
      <w:proofErr w:type="spellStart"/>
      <w:r>
        <w:rPr>
          <w:rFonts w:ascii="Simplified Arabic" w:hAnsi="Simplified Arabic" w:cs="Simplified Arabic"/>
          <w:sz w:val="32"/>
          <w:szCs w:val="32"/>
          <w:u w:val="single"/>
          <w:lang w:bidi="ar-DZ"/>
        </w:rPr>
        <w:t>poetique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):« بحيث يكون الملفوظ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منتوج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له قيمة في حدّ ذاته، وكما عبر عنها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جاكبسون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:" تحقق الجانب الملموس في الدلائل"» منقول من كتاب</w:t>
      </w:r>
      <w:r w:rsidRPr="00071A8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(النظريات اللسانية الكبرى من النحو المقارن إل </w:t>
      </w:r>
      <w:proofErr w:type="spellStart"/>
      <w:r w:rsidRPr="00071A86">
        <w:rPr>
          <w:rFonts w:ascii="Simplified Arabic" w:hAnsi="Simplified Arabic" w:cs="Simplified Arabic"/>
          <w:sz w:val="24"/>
          <w:szCs w:val="24"/>
          <w:rtl/>
          <w:lang w:bidi="ar-DZ"/>
        </w:rPr>
        <w:t>الذرائعية</w:t>
      </w:r>
      <w:proofErr w:type="spellEnd"/>
      <w:r w:rsidRPr="00071A86">
        <w:rPr>
          <w:rFonts w:ascii="Simplified Arabic" w:hAnsi="Simplified Arabic" w:cs="Simplified Arabic"/>
          <w:sz w:val="24"/>
          <w:szCs w:val="24"/>
          <w:rtl/>
          <w:lang w:bidi="ar-DZ"/>
        </w:rPr>
        <w:t>).</w:t>
      </w:r>
    </w:p>
    <w:p w:rsidR="00071A86" w:rsidRPr="00071A86" w:rsidRDefault="00071A86" w:rsidP="00FD1E1E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شرح: </w:t>
      </w:r>
      <w:r w:rsidRPr="00071A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خاصة بالرسالة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FD1E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كالشكليات التي يقتضيها النص الشعري، وإبراز الجانب الجمالي كالاستعارات والاوزان....</w:t>
      </w:r>
    </w:p>
    <w:p w:rsidR="00071A86" w:rsidRPr="00071A86" w:rsidRDefault="00071A86" w:rsidP="00071A86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353B89" w:rsidRDefault="00353B89" w:rsidP="00353B89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المراجع:</w:t>
      </w:r>
      <w:r w:rsidR="00D779DC" w:rsidRPr="008F70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53B8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كتاب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353B8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النظريات اللسانية الكبرى من النحو المقارن إل </w:t>
      </w:r>
      <w:proofErr w:type="spellStart"/>
      <w:r w:rsidRPr="00353B8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الذرائعية</w:t>
      </w:r>
      <w:proofErr w:type="spellEnd"/>
      <w:r w:rsidRPr="00353B8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</w:p>
    <w:p w:rsidR="00353B89" w:rsidRPr="00353B89" w:rsidRDefault="00353B89" w:rsidP="00353B8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مقال للأستاذ بشير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ابرير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في ندوة تيسير النحو، المجلس الأعلى للغة العربية، أفريل2001، الجزائر العاصمة. </w:t>
      </w:r>
    </w:p>
    <w:p w:rsidR="00905C84" w:rsidRPr="008F706F" w:rsidRDefault="00905C84" w:rsidP="008F706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D3403" w:rsidRDefault="002D3403" w:rsidP="002D3403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2D3403" w:rsidRPr="002D3403" w:rsidRDefault="002D3403" w:rsidP="002D3403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2D3403" w:rsidRPr="002D3403" w:rsidRDefault="002D3403" w:rsidP="002D3403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8E4450" w:rsidRDefault="00FE3E92" w:rsidP="00B605BB">
      <w:p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8E4450" w:rsidRPr="008E4450" w:rsidRDefault="008E4450" w:rsidP="008E445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568F9" w:rsidRDefault="004568F9" w:rsidP="004568F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568F9" w:rsidRDefault="004568F9" w:rsidP="004568F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E72B9" w:rsidRDefault="005E72B9" w:rsidP="005E72B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2B2CAA" w:rsidRDefault="002B2CAA" w:rsidP="005E72B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2B2CAA" w:rsidRPr="002B2CAA" w:rsidRDefault="002B2CAA" w:rsidP="002B2CA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sectPr w:rsidR="002B2CAA" w:rsidRPr="002B2CAA" w:rsidSect="002C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B2CAA"/>
    <w:rsid w:val="00020656"/>
    <w:rsid w:val="00071A86"/>
    <w:rsid w:val="002B2CAA"/>
    <w:rsid w:val="002C2C5E"/>
    <w:rsid w:val="002D3403"/>
    <w:rsid w:val="00353B89"/>
    <w:rsid w:val="004568F9"/>
    <w:rsid w:val="005E72B9"/>
    <w:rsid w:val="00760F30"/>
    <w:rsid w:val="008E4450"/>
    <w:rsid w:val="008F706F"/>
    <w:rsid w:val="00905C84"/>
    <w:rsid w:val="009614EC"/>
    <w:rsid w:val="009903CA"/>
    <w:rsid w:val="00B605BB"/>
    <w:rsid w:val="00D779DC"/>
    <w:rsid w:val="00E67E19"/>
    <w:rsid w:val="00FD1E1E"/>
    <w:rsid w:val="00FE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7" w:right="-5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31</cp:revision>
  <dcterms:created xsi:type="dcterms:W3CDTF">2020-04-09T04:27:00Z</dcterms:created>
  <dcterms:modified xsi:type="dcterms:W3CDTF">2020-04-09T05:59:00Z</dcterms:modified>
</cp:coreProperties>
</file>