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3AB15">
      <w:pPr>
        <w:spacing w:after="200" w:line="240" w:lineRule="auto"/>
        <w:jc w:val="center"/>
        <w:rPr>
          <w:rFonts w:ascii="Traditional Arabic" w:hAnsi="Traditional Arabic" w:eastAsia="Times New Roman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eastAsia="Times New Roman" w:cs="Traditional Arabic"/>
          <w:b/>
          <w:bCs/>
          <w:sz w:val="36"/>
          <w:szCs w:val="36"/>
          <w:rtl/>
        </w:rPr>
        <w:t>شبكة التقييم في إطار النشاط الثالث من الورشة الثانية، الفوج 105</w:t>
      </w:r>
      <w:r>
        <w:rPr>
          <w:rFonts w:hint="cs" w:ascii="Traditional Arabic" w:hAnsi="Traditional Arabic" w:eastAsia="Times New Roman" w:cs="Traditional Arabic"/>
          <w:b/>
          <w:bCs/>
          <w:sz w:val="36"/>
          <w:szCs w:val="36"/>
          <w:rtl/>
          <w:lang w:bidi="ar-DZ"/>
        </w:rPr>
        <w:t>،</w:t>
      </w:r>
      <w:r>
        <w:rPr>
          <w:rFonts w:ascii="Traditional Arabic" w:hAnsi="Traditional Arabic" w:eastAsia="Times New Roman" w:cs="Traditional Arabic"/>
          <w:b/>
          <w:bCs/>
          <w:sz w:val="36"/>
          <w:szCs w:val="36"/>
          <w:rtl/>
        </w:rPr>
        <w:t xml:space="preserve"> السنة (2023-2024)</w:t>
      </w:r>
    </w:p>
    <w:p w14:paraId="11D7DB0A">
      <w:pPr>
        <w:spacing w:after="200" w:line="240" w:lineRule="auto"/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  <w:t>تشتمل الشبكة على:</w:t>
      </w:r>
    </w:p>
    <w:p w14:paraId="7823B1CD">
      <w:pPr>
        <w:pStyle w:val="10"/>
        <w:numPr>
          <w:ilvl w:val="0"/>
          <w:numId w:val="1"/>
        </w:numPr>
        <w:spacing w:after="200" w:line="240" w:lineRule="auto"/>
        <w:rPr>
          <w:rFonts w:ascii="Traditional Arabic" w:hAnsi="Traditional Arabic" w:eastAsia="Times New Roman" w:cs="Traditional Arabic"/>
          <w:sz w:val="32"/>
          <w:szCs w:val="32"/>
          <w:lang w:bidi="ar-DZ"/>
        </w:rPr>
      </w:pPr>
      <w:r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  <w:t>مجموعة معايير تقييم، عددها ثابت، مأخوذة من العرض الموسوم بـ: «</w:t>
      </w:r>
      <w:r>
        <w:rPr>
          <w:rFonts w:ascii="Traditional Arabic" w:hAnsi="Traditional Arabic" w:eastAsia="Times New Roman" w:cs="Traditional Arabic"/>
          <w:sz w:val="32"/>
          <w:szCs w:val="32"/>
          <w:lang w:bidi="ar-DZ"/>
        </w:rPr>
        <w:t>Structuration pédagogique d’un cours pour un enseignement hybride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  <w:t>».</w:t>
      </w:r>
    </w:p>
    <w:p w14:paraId="102644BC">
      <w:pPr>
        <w:pStyle w:val="10"/>
        <w:numPr>
          <w:ilvl w:val="0"/>
          <w:numId w:val="1"/>
        </w:numPr>
        <w:spacing w:after="200" w:line="240" w:lineRule="auto"/>
        <w:rPr>
          <w:rFonts w:ascii="Traditional Arabic" w:hAnsi="Traditional Arabic" w:eastAsia="Times New Roman" w:cs="Traditional Arabic"/>
          <w:sz w:val="32"/>
          <w:szCs w:val="32"/>
          <w:lang w:bidi="ar-DZ"/>
        </w:rPr>
      </w:pPr>
      <w:r>
        <w:rPr>
          <w:rFonts w:ascii="Traditional Arabic" w:hAnsi="Traditional Arabic" w:eastAsia="Times New Roman" w:cs="Traditional Arabic"/>
          <w:sz w:val="32"/>
          <w:szCs w:val="32"/>
          <w:rtl/>
          <w:lang w:bidi="ar-DZ"/>
        </w:rPr>
        <w:t>التقديرات التي اختارها أعضاء المجموعة، وهي: (</w:t>
      </w:r>
      <w:r>
        <w:rPr>
          <w:rFonts w:ascii="Traditional Arabic" w:hAnsi="Traditional Arabic" w:eastAsia="Times New Roman" w:cs="Traditional Arabic"/>
          <w:sz w:val="32"/>
          <w:szCs w:val="32"/>
          <w:lang w:val="fr-FR" w:bidi="ar-DZ"/>
        </w:rPr>
        <w:t>A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 xml:space="preserve"> ممتاز)، (</w:t>
      </w:r>
      <w:r>
        <w:rPr>
          <w:rFonts w:ascii="Traditional Arabic" w:hAnsi="Traditional Arabic" w:eastAsia="Times New Roman" w:cs="Traditional Arabic"/>
          <w:sz w:val="32"/>
          <w:szCs w:val="32"/>
          <w:lang w:val="fr-FR" w:bidi="ar-DZ"/>
        </w:rPr>
        <w:t>B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 xml:space="preserve"> جيد)، (</w:t>
      </w:r>
      <w:r>
        <w:rPr>
          <w:rFonts w:ascii="Traditional Arabic" w:hAnsi="Traditional Arabic" w:eastAsia="Times New Roman" w:cs="Traditional Arabic"/>
          <w:sz w:val="32"/>
          <w:szCs w:val="32"/>
          <w:lang w:val="fr-FR" w:bidi="ar-DZ"/>
        </w:rPr>
        <w:t>C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 xml:space="preserve"> مقبول)، (</w:t>
      </w:r>
      <w:r>
        <w:rPr>
          <w:rFonts w:ascii="Traditional Arabic" w:hAnsi="Traditional Arabic" w:eastAsia="Times New Roman" w:cs="Traditional Arabic"/>
          <w:sz w:val="32"/>
          <w:szCs w:val="32"/>
          <w:lang w:val="fr-FR" w:bidi="ar-DZ"/>
        </w:rPr>
        <w:t>D</w:t>
      </w: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 xml:space="preserve"> غير كاف).</w:t>
      </w:r>
    </w:p>
    <w:p w14:paraId="3707D293">
      <w:pPr>
        <w:pStyle w:val="10"/>
        <w:numPr>
          <w:ilvl w:val="0"/>
          <w:numId w:val="1"/>
        </w:numPr>
        <w:spacing w:after="200" w:line="240" w:lineRule="auto"/>
        <w:rPr>
          <w:rFonts w:ascii="Traditional Arabic" w:hAnsi="Traditional Arabic" w:eastAsia="Times New Roman" w:cs="Traditional Arabic"/>
          <w:sz w:val="32"/>
          <w:szCs w:val="32"/>
          <w:lang w:bidi="ar-DZ"/>
        </w:rPr>
      </w:pPr>
      <w:r>
        <w:rPr>
          <w:rFonts w:ascii="Traditional Arabic" w:hAnsi="Traditional Arabic" w:eastAsia="Times New Roman" w:cs="Traditional Arabic"/>
          <w:sz w:val="32"/>
          <w:szCs w:val="32"/>
          <w:rtl/>
          <w:lang w:val="fr-FR" w:bidi="ar-DZ"/>
        </w:rPr>
        <w:t>التقدير المناسب معلَّم بعلامة (+).</w:t>
      </w:r>
    </w:p>
    <w:p w14:paraId="7AA13C6F">
      <w:pPr>
        <w:pStyle w:val="10"/>
        <w:spacing w:after="200" w:line="240" w:lineRule="auto"/>
        <w:rPr>
          <w:rFonts w:ascii="Simplified Arabic" w:hAnsi="Simplified Arabic" w:eastAsia="Times New Roman" w:cs="Simplified Arabic"/>
          <w:b/>
          <w:bCs/>
          <w:sz w:val="32"/>
          <w:szCs w:val="32"/>
          <w:rtl/>
          <w:lang w:bidi="ar-DZ"/>
        </w:rPr>
      </w:pPr>
      <w:r>
        <w:rPr>
          <w:rFonts w:hint="cs" w:ascii="Simplified Arabic" w:hAnsi="Simplified Arabic" w:eastAsia="Times New Roman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eastAsia="Times New Roman" w:cs="Simplified Arabic"/>
          <w:b/>
          <w:bCs/>
          <w:sz w:val="32"/>
          <w:szCs w:val="32"/>
          <w:rtl/>
          <w:lang w:bidi="ar-DZ"/>
        </w:rPr>
        <w:t xml:space="preserve">  </w:t>
      </w:r>
    </w:p>
    <w:tbl>
      <w:tblPr>
        <w:tblStyle w:val="6"/>
        <w:bidiVisual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6"/>
        <w:gridCol w:w="4678"/>
        <w:gridCol w:w="710"/>
        <w:gridCol w:w="34"/>
        <w:gridCol w:w="745"/>
        <w:gridCol w:w="780"/>
        <w:gridCol w:w="709"/>
      </w:tblGrid>
      <w:tr w14:paraId="5D2C6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00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BA1E">
            <w:pPr>
              <w:spacing w:after="20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الفوج: 105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14:paraId="6EA32B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F01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الأنظمة</w:t>
            </w:r>
          </w:p>
          <w:p w14:paraId="7018480A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bidi="ar-DZ"/>
              </w:rPr>
              <w:t>Systems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D3F25C7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معايير التقييم لكل نظام</w:t>
            </w:r>
          </w:p>
          <w:p w14:paraId="50A49C99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(Assessment Criteria)</w:t>
            </w:r>
          </w:p>
        </w:tc>
        <w:tc>
          <w:tcPr>
            <w:tcW w:w="2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15E18C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سلم تقييم عناصر الدرس</w:t>
            </w:r>
          </w:p>
          <w:p w14:paraId="4128A805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highlight w:val="yellow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bidi="ar-DZ"/>
              </w:rPr>
              <w:t>(Mentions)</w:t>
            </w:r>
          </w:p>
        </w:tc>
      </w:tr>
      <w:tr w14:paraId="42B1EB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79F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الجانب التنظيمي</w:t>
            </w:r>
          </w:p>
          <w:p w14:paraId="53FBCF3B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 w:bidi="ar-DZ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bidi="ar-DZ"/>
              </w:rPr>
              <w:t>Organizational Aspect)</w:t>
            </w:r>
          </w:p>
        </w:tc>
        <w:tc>
          <w:tcPr>
            <w:tcW w:w="4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4CEE1F0D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48BE300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79C5AF9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51F1073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24772A7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val="fr-FR" w:bidi="ar-DZ"/>
              </w:rPr>
              <w:t>D</w:t>
            </w:r>
          </w:p>
        </w:tc>
      </w:tr>
      <w:tr w14:paraId="6D7C50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96C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7FA02BBC">
            <w:pPr>
              <w:bidi w:val="0"/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التعريف بال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أ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ستاذ (الاسم واللقب، الرتبة، وجود دليل اتصال)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E73FF79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DE6D32E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058FAC87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790D3CEE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14:paraId="22504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4D6A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5D649CD4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val="fr-FR" w:bidi="ar-DZ"/>
              </w:rPr>
              <w:t>التعريف بالوحدة التعليمية (الاسم، النوع، الحجم الساعي، المعامل والرصيد)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304704ED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68B5999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683912C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0205DE6A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14:paraId="0DB8A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4F7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6B741B9A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 xml:space="preserve">المخطط العام للدرس 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226B9579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16837586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7328C4C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E1A7A2E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14:paraId="07BFC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3C97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2CB7070B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تحديد الفئة المتعلمة المستهدفة بالدرس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71316F6C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22C9EFCE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4376E55D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14:paraId="1FFB4BB1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14:paraId="6B7E79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4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9A5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0E1ECB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الأهداف</w:t>
            </w:r>
          </w:p>
          <w:p w14:paraId="07A8999A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Objectives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330401E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51E6228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081A569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 w14:paraId="1DB2EE6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14:paraId="54CB6E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B13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نظام الدخول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6B61806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lang w:val="fr-FR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>Entry system)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7DF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تحديد ووضوح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ومواءمة الأهداف بالنسبة للدرس ولعناصره الفرعية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vAlign w:val="center"/>
          </w:tcPr>
          <w:p w14:paraId="6AC1985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vAlign w:val="center"/>
          </w:tcPr>
          <w:p w14:paraId="3AEED73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vAlign w:val="center"/>
          </w:tcPr>
          <w:p w14:paraId="54053C1A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vAlign w:val="center"/>
          </w:tcPr>
          <w:p w14:paraId="3FC9C48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14:paraId="7BDE9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DB02E69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C1B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التنوع الهادف في انتقاء الأهداف : (الفهم، التحليل، التركيب، التطبيق، التفسير)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5EF7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B79E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413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196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16D9D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BFC4178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5FF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 xml:space="preserve">ترتيب الأهداف وفق المستوى المطلوب بلوغه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C94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3196">
            <w:pPr>
              <w:bidi w:val="0"/>
              <w:spacing w:after="24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0AE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EE2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0395AC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5D1710A0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7BAB">
            <w:pPr>
              <w:bidi w:val="0"/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>واقعية الأهداف وقربها لاهتمامات المتعلم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874D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8DF9">
            <w:pPr>
              <w:bidi w:val="0"/>
              <w:spacing w:after="24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677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0D8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5E08E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1499123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27D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المكتسبات السابقة</w:t>
            </w:r>
          </w:p>
          <w:p w14:paraId="3C32BCC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(Prerequisites)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E5F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ABE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ADA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bidi="ar-DZ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BAC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>D</w:t>
            </w:r>
          </w:p>
        </w:tc>
      </w:tr>
      <w:tr w14:paraId="2EF91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548C6396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E30A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صياغة أنشطة افتتاحية وفقا للمعارف القبلية والمكتسبة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815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BB4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9EC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909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14:paraId="797C74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140E8638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703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احترام مبدأ التنوع (الأهداف القصوى والحد الأدنى من المتطلبات)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F1B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EE3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7B39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16B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4C542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AB50F93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29B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وجود الارتباط الفعلي بين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المكتسبات القبلية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و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عناصر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محتوى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AB88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hint="cs" w:ascii="Traditional Arabic" w:hAnsi="Traditional Arabic" w:eastAsia="Times New Roman" w:cs="Traditional Arabic"/>
                <w:sz w:val="36"/>
                <w:szCs w:val="36"/>
                <w:rtl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520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107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4BE9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602D2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3A24C2A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AD7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اختبارات الدخول</w:t>
            </w:r>
          </w:p>
          <w:p w14:paraId="1636145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(Entrance Examination)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0F9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82EA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D06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BCE3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61CB2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1FE502F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6BE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تحديد المتطلبات الأساسية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61D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D81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064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BCA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4B5DA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452026C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2AA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وجود تمارين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 دقيقة وواضحة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وأنشطة ذات علاقة بالدرس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D60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7737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C6FA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1B6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107DE8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C6FC95F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546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تناسب تمارين الدخول مع المكتسبات القبلية والعناصر الجديدة للدرس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E7B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F3EC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81A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9197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46CA19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CF8DF92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AF8D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وجود اختبارات المتطلبات الأساسية والإحالة إلى المصادر (في حالة فشل الاختبار) للوصول إلى عتبة المعرفة اللازمة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5AA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58C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37F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714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5E2C9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9A4F2E0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5D7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هيكلة نظام التعلم</w:t>
            </w:r>
          </w:p>
          <w:p w14:paraId="1303DB7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(Learning Architecture)</w:t>
            </w:r>
          </w:p>
          <w:p w14:paraId="0AF2881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BC0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DD4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A63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5CDA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62A18E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7DB3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نظام التعلم</w:t>
            </w:r>
          </w:p>
          <w:p w14:paraId="29B1454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>(Learning system)</w:t>
            </w:r>
          </w:p>
          <w:p w14:paraId="77390339">
            <w:pPr>
              <w:bidi w:val="0"/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4837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المحتوى التعليمي م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قسم إلى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عناصر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وتطبيقات متجانسة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E8D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BFE1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704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CECE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6B6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</w:p>
        </w:tc>
      </w:tr>
      <w:tr w14:paraId="1355AE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2FE5C4B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A3A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وجود توافق وتنسيق بين المحاور العامة والمحاور الجزئية للدرس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00E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48C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E60E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561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0DB258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C0B59AC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AF76">
            <w:pPr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>موائمة الحجم الساعي المخصص لكل وحدة تعليمية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0B0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1AF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EAC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ECF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568F6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8D8069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8DD5">
            <w:pPr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استخدام العناصر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التوضيحية للدرس (روابط أنترنت، صور، ملفات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lang w:val="fr-FR"/>
              </w:rPr>
              <w:t>PDF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  <w:lang w:val="fr-FR" w:bidi="ar-DZ"/>
              </w:rPr>
              <w:t>)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2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C5F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E45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515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4AC36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776E605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CF6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بناء وتوزيع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الأنشطة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وفق ما يتناسب ومتطلبات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 xml:space="preserve">أهداف ومحتوى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الدرس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.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A9E0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BF8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3F5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0B5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0516AE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B5DA78D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C91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المحتوى التعليمي المقدم معروض بشكل واضح (نوع اللغة)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E543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3F9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D08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A14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3B64AA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38FA72C3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9B6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أنشطة التعلم</w:t>
            </w:r>
          </w:p>
          <w:p w14:paraId="208848D5">
            <w:pPr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(Learning activities)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CBD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7A8B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B65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111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0D6D1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664A204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6830">
            <w:pPr>
              <w:spacing w:after="20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التسلسل المنطقي في طرح الأفكار والمعلومات من العام إلى الخاص ومن الجزء إلى الكل بما يحقق أهداف 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BE56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F50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98AE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12A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3FC158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7996BD92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C7E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وجود فضاءات التواصل بين المتعلمين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B0C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815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94C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F36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1D37B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5741023F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650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>تناسب الأنشطة المقدمة مع الأهداف المحددة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B03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B535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D8B9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4BF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73BD47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009C1588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8A65">
            <w:pPr>
              <w:jc w:val="center"/>
              <w:rPr>
                <w:rFonts w:ascii="Traditional Arabic" w:hAnsi="Traditional Arabic" w:eastAsia="Calibri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 xml:space="preserve">مراعاة </w:t>
            </w:r>
            <w:r>
              <w:rPr>
                <w:rFonts w:hint="cs" w:ascii="Traditional Arabic" w:hAnsi="Traditional Arabic" w:eastAsia="Times New Roman" w:cs="Traditional Arabic"/>
                <w:sz w:val="32"/>
                <w:szCs w:val="32"/>
                <w:rtl/>
              </w:rPr>
              <w:t>التدرج في طرح أنشطة الدرس: (من السهل إلى الصعب لإبراز الفروق الفردية</w:t>
            </w:r>
            <w:r>
              <w:rPr>
                <w:rFonts w:hint="cs" w:ascii="Traditional Arabic" w:hAnsi="Traditional Arabic" w:eastAsia="Calibri" w:cs="Traditional Arabic"/>
                <w:sz w:val="32"/>
                <w:szCs w:val="32"/>
                <w:rtl/>
              </w:rPr>
              <w:t xml:space="preserve"> بين الطلبة)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2060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64AE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3E8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DDB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</w:tr>
      <w:tr w14:paraId="245EC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1ACBD3C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0DF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الاختبارات التقييمية</w:t>
            </w:r>
          </w:p>
          <w:p w14:paraId="1D6857E7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  <w:t>(Post-tests)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A9DD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A8BB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650A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F0E4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27E0D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405F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  <w:rtl/>
              </w:rPr>
              <w:t>نظام الخروج</w:t>
            </w: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453A623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color w:val="000000"/>
                <w:sz w:val="32"/>
                <w:szCs w:val="32"/>
              </w:rPr>
              <w:t xml:space="preserve"> (Exit system) </w:t>
            </w:r>
          </w:p>
          <w:p w14:paraId="72F44C08">
            <w:pPr>
              <w:bidi w:val="0"/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val="fr-FR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B3F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وجود تمارين الخروج شاملة لمحتوى الدرس ومتنوعة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6C6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A6F5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  <w:lang w:val="fr-FR" w:bidi="ar-DZ"/>
              </w:rPr>
              <w:t>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D59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CB39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7CC85C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34E05B88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450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 xml:space="preserve">توجيه المتعلم نحو وحدة تعلم أخرى </w:t>
            </w: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  <w:t>(في حالة اجتياز الاختبار)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3457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898E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5A2C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75C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1481F8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5BEC9CFB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19C4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المصادر والمراجع</w:t>
            </w:r>
          </w:p>
          <w:p w14:paraId="3BC99358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val="fr-FR" w:bidi="ar-DZ"/>
              </w:rPr>
              <w:t>(Sources and references)</w:t>
            </w:r>
          </w:p>
          <w:p w14:paraId="05CB318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BCC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5AF0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C0E2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8C3F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4ECCB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817CB9E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البيبليوغرافيا</w:t>
            </w:r>
          </w:p>
          <w:p w14:paraId="63E82356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(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lang w:bidi="ar-DZ"/>
              </w:rPr>
              <w:t>Bibliography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14:paraId="7B157533">
            <w:pPr>
              <w:spacing w:after="0" w:line="240" w:lineRule="auto"/>
              <w:rPr>
                <w:rFonts w:ascii="Traditional Arabic" w:hAnsi="Traditional Arabic" w:eastAsia="Times New Roman" w:cs="Traditional Arabic"/>
                <w:sz w:val="32"/>
                <w:szCs w:val="32"/>
                <w:highlight w:val="yellow"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834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وجود قائمة ببليوغرافيا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1A90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bidi="ar-DZ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A841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0FFC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C34D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1DB4D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5AB4823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941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حجم المراجع مقارنة بمادة 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081A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01F1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58F7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336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4901E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60584BBA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76C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جِدَّة المراجع وحداثتها مقارنة بمادة الدرس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A45C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BBC5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E7F0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FCB8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61169C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439B8BC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6442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eastAsia="Times New Roman" w:cs="Traditional Arabic"/>
                <w:sz w:val="32"/>
                <w:szCs w:val="32"/>
                <w:rtl/>
                <w:lang w:bidi="ar-DZ"/>
              </w:rPr>
              <w:t>ذكر المراجع والملفات الضرورية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7451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rtl/>
                <w:lang w:val="fr-FR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  <w:t>+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18C9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A1BD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EEBF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</w:p>
        </w:tc>
      </w:tr>
      <w:tr w14:paraId="083CAD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43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 w14:paraId="2ACEFF44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F992">
            <w:pPr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eastAsia="Calibri" w:cs="Traditional Arabic"/>
                <w:sz w:val="32"/>
                <w:szCs w:val="32"/>
                <w:rtl/>
                <w:lang w:bidi="ar-DZ"/>
              </w:rPr>
              <w:t>وجود قائمة مصطلحات، واختصارات (إن كانت مستعملة)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F159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912A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ascii="Traditional Arabic" w:hAnsi="Traditional Arabic" w:eastAsia="Times New Roman" w:cs="Traditional Arabic"/>
                <w:sz w:val="36"/>
                <w:szCs w:val="36"/>
              </w:rPr>
              <w:t>+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4297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768B">
            <w:pPr>
              <w:shd w:val="clear" w:color="auto" w:fill="E2EFD9" w:themeFill="accent6" w:themeFillTint="33"/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40"/>
                <w:szCs w:val="40"/>
                <w:lang w:val="fr-FR"/>
              </w:rPr>
            </w:pPr>
          </w:p>
        </w:tc>
      </w:tr>
    </w:tbl>
    <w:p w14:paraId="4A951634">
      <w:pPr>
        <w:shd w:val="clear" w:color="auto" w:fill="E2EFD9" w:themeFill="accent6" w:themeFillTint="33"/>
        <w:bidi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fr-FR"/>
        </w:rPr>
      </w:pPr>
    </w:p>
    <w:p w14:paraId="45CFB553">
      <w:pPr>
        <w:rPr>
          <w:lang w:bidi="ar-DZ"/>
        </w:rPr>
      </w:pPr>
    </w:p>
    <w:p w14:paraId="6AA6F8AD">
      <w:pPr>
        <w:rPr>
          <w:lang w:bidi="ar-DZ"/>
        </w:rPr>
      </w:pPr>
    </w:p>
    <w:p w14:paraId="4466F978">
      <w:pPr>
        <w:rPr>
          <w:lang w:bidi="ar-DZ"/>
        </w:rPr>
      </w:pPr>
    </w:p>
    <w:tbl>
      <w:tblPr>
        <w:tblStyle w:val="9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4"/>
        <w:gridCol w:w="2085"/>
      </w:tblGrid>
      <w:tr w14:paraId="461A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C5E0B3" w:themeFill="accent6" w:themeFillTint="66"/>
          </w:tcPr>
          <w:p w14:paraId="37CA7C4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التقدير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14:paraId="1153DD81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rtl/>
                <w:lang w:val="fr-FR"/>
              </w:rPr>
            </w:pPr>
            <w:r>
              <w:rPr>
                <w:rFonts w:hint="cs"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 xml:space="preserve"> (ممتاز)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14:paraId="53B4017C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hint="cs"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 xml:space="preserve"> (جيد)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B</w:t>
            </w:r>
          </w:p>
        </w:tc>
        <w:tc>
          <w:tcPr>
            <w:tcW w:w="2084" w:type="dxa"/>
            <w:shd w:val="clear" w:color="auto" w:fill="C5E0B3" w:themeFill="accent6" w:themeFillTint="66"/>
            <w:vAlign w:val="center"/>
          </w:tcPr>
          <w:p w14:paraId="5B0B9B1C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</w:rPr>
            </w:pPr>
            <w:r>
              <w:rPr>
                <w:rFonts w:hint="cs"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 xml:space="preserve"> (مقبول)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085" w:type="dxa"/>
            <w:shd w:val="clear" w:color="auto" w:fill="C5E0B3" w:themeFill="accent6" w:themeFillTint="66"/>
            <w:vAlign w:val="center"/>
          </w:tcPr>
          <w:p w14:paraId="5C6BA728">
            <w:pPr>
              <w:bidi w:val="0"/>
              <w:spacing w:after="0" w:line="240" w:lineRule="auto"/>
              <w:jc w:val="center"/>
              <w:rPr>
                <w:rFonts w:ascii="Traditional Arabic" w:hAnsi="Traditional Arabic" w:eastAsia="Times New Roman" w:cs="Traditional Arabic"/>
                <w:sz w:val="36"/>
                <w:szCs w:val="36"/>
                <w:lang w:val="fr-FR"/>
              </w:rPr>
            </w:pPr>
            <w:r>
              <w:rPr>
                <w:rFonts w:hint="cs" w:ascii="Traditional Arabic" w:hAnsi="Traditional Arabic" w:eastAsia="Times New Roman" w:cs="Traditional Arabic"/>
                <w:b/>
                <w:bCs/>
                <w:sz w:val="36"/>
                <w:szCs w:val="36"/>
                <w:rtl/>
                <w:lang w:val="fr-FR" w:bidi="ar-DZ"/>
              </w:rPr>
              <w:t xml:space="preserve"> (غير كاف)</w:t>
            </w:r>
            <w:r>
              <w:rPr>
                <w:rFonts w:ascii="Traditional Arabic" w:hAnsi="Traditional Arabic" w:eastAsia="Times New Roman" w:cs="Traditional Arabic"/>
                <w:b/>
                <w:bCs/>
                <w:sz w:val="36"/>
                <w:szCs w:val="36"/>
                <w:lang w:val="fr-FR"/>
              </w:rPr>
              <w:t>D</w:t>
            </w:r>
          </w:p>
        </w:tc>
      </w:tr>
      <w:tr w14:paraId="732B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C5E0B3" w:themeFill="accent6" w:themeFillTint="66"/>
          </w:tcPr>
          <w:p w14:paraId="6B258F4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عدد المعايير 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10CF411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27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1B1A3B3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  <w:t>05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564D83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085" w:type="dxa"/>
            <w:shd w:val="clear" w:color="auto" w:fill="F1F1F1" w:themeFill="background1" w:themeFillShade="F2"/>
          </w:tcPr>
          <w:p w14:paraId="65AB84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/</w:t>
            </w:r>
          </w:p>
        </w:tc>
      </w:tr>
      <w:tr w14:paraId="369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C5E0B3" w:themeFill="accent6" w:themeFillTint="66"/>
          </w:tcPr>
          <w:p w14:paraId="5E5660E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النسبة المئوية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236C41D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84.37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4D4EEF3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15.62</w:t>
            </w:r>
          </w:p>
        </w:tc>
        <w:tc>
          <w:tcPr>
            <w:tcW w:w="2084" w:type="dxa"/>
            <w:shd w:val="clear" w:color="auto" w:fill="F1F1F1" w:themeFill="background1" w:themeFillShade="F2"/>
          </w:tcPr>
          <w:p w14:paraId="03533B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2085" w:type="dxa"/>
            <w:shd w:val="clear" w:color="auto" w:fill="F1F1F1" w:themeFill="background1" w:themeFillShade="F2"/>
          </w:tcPr>
          <w:p w14:paraId="089614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sz w:val="32"/>
                <w:szCs w:val="32"/>
                <w:rtl/>
                <w:lang w:bidi="ar-DZ"/>
              </w:rPr>
              <w:t>/</w:t>
            </w:r>
          </w:p>
        </w:tc>
      </w:tr>
      <w:tr w14:paraId="09EF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shd w:val="clear" w:color="auto" w:fill="C5E0B3" w:themeFill="accent6" w:themeFillTint="66"/>
          </w:tcPr>
          <w:p w14:paraId="4D2D3AD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التقييم العام</w:t>
            </w:r>
          </w:p>
        </w:tc>
        <w:tc>
          <w:tcPr>
            <w:tcW w:w="8337" w:type="dxa"/>
            <w:gridSpan w:val="4"/>
            <w:shd w:val="clear" w:color="auto" w:fill="F1F1F1" w:themeFill="background1" w:themeFillShade="F2"/>
          </w:tcPr>
          <w:p w14:paraId="5C0CA52A">
            <w:pPr>
              <w:spacing w:after="0" w:line="240" w:lineRule="auto"/>
              <w:jc w:val="center"/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hint="cs" w:ascii="Traditional Arabic" w:hAnsi="Traditional Arabic" w:cs="Traditional Arabic"/>
                <w:b/>
                <w:bCs/>
                <w:sz w:val="32"/>
                <w:szCs w:val="32"/>
                <w:rtl/>
                <w:lang w:val="fr-FR" w:bidi="ar-DZ"/>
              </w:rPr>
              <w:t>ممتاز</w:t>
            </w:r>
          </w:p>
        </w:tc>
      </w:tr>
    </w:tbl>
    <w:p w14:paraId="09D0EC5C">
      <w:pPr>
        <w:rPr>
          <w:lang w:bidi="ar-DZ"/>
        </w:rPr>
      </w:pPr>
    </w:p>
    <w:p w14:paraId="55F10368">
      <w:pPr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14:paraId="49E0BCEC">
      <w:pPr>
        <w:wordWrap w:val="0"/>
        <w:rPr>
          <w:rFonts w:hint="cs" w:cstheme="minorBidi"/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إمضاء المقييم:</w:t>
      </w:r>
      <w:r>
        <w:rPr>
          <w:rFonts w:hint="cs" w:cstheme="minorBidi"/>
          <w:b/>
          <w:bCs/>
          <w:sz w:val="28"/>
          <w:szCs w:val="28"/>
          <w:rtl/>
          <w:lang w:val="en-US" w:bidi="ar-DZ"/>
        </w:rPr>
        <w:t xml:space="preserve"> نويقة نصيرة </w:t>
      </w:r>
    </w:p>
    <w:p w14:paraId="474D1F20">
      <w:pPr>
        <w:wordWrap/>
        <w:rPr>
          <w:rFonts w:hint="default" w:cstheme="minorBidi"/>
          <w:b/>
          <w:bCs/>
          <w:sz w:val="28"/>
          <w:szCs w:val="28"/>
          <w:rtl/>
          <w:lang w:val="en-US" w:bidi="ar-DZ"/>
        </w:rPr>
      </w:pPr>
      <w:r>
        <w:rPr>
          <w:rFonts w:hint="default" w:cstheme="minorBidi"/>
          <w:b/>
          <w:bCs/>
          <w:sz w:val="28"/>
          <w:szCs w:val="28"/>
          <w:rtl/>
          <w:lang w:val="en-US" w:bidi="ar-DZ"/>
        </w:rPr>
        <w:drawing>
          <wp:inline distT="0" distB="0" distL="114300" distR="114300">
            <wp:extent cx="2291715" cy="1718945"/>
            <wp:effectExtent l="0" t="0" r="6985" b="8255"/>
            <wp:docPr id="1" name="Image 1" descr="IMG_20240728_15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_20240728_1547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7" w:h="16839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3AC1D">
    <w:pPr>
      <w:pStyle w:val="5"/>
      <w:jc w:val="center"/>
      <w:rPr>
        <w:rFonts w:ascii="Simplified Arabic" w:hAnsi="Simplified Arabic" w:cs="Simplified Arabic"/>
        <w:sz w:val="20"/>
        <w:szCs w:val="20"/>
        <w:rtl/>
        <w:lang w:val="fr-FR" w:bidi="ar-DZ"/>
      </w:rPr>
    </w:pPr>
    <w:r>
      <w:rPr>
        <w:rFonts w:hint="cs" w:ascii="Simplified Arabic" w:hAnsi="Simplified Arabic" w:cs="Simplified Arabic"/>
        <w:b/>
        <w:bCs/>
        <w:sz w:val="20"/>
        <w:szCs w:val="20"/>
        <w:rtl/>
        <w:lang w:val="fr-FR" w:bidi="ar-DZ"/>
      </w:rPr>
      <w:t xml:space="preserve">الورشة 2/ النشاط: 3، </w:t>
    </w:r>
    <w:r>
      <w:rPr>
        <w:rFonts w:ascii="Simplified Arabic" w:hAnsi="Simplified Arabic" w:cs="Simplified Arabic"/>
        <w:b/>
        <w:sz w:val="20"/>
        <w:szCs w:val="20"/>
      </w:rPr>
      <w:t>Atelier 2/Activité 3</w:t>
    </w:r>
    <w:r>
      <w:rPr>
        <w:rFonts w:ascii="Simplified Arabic" w:hAnsi="Simplified Arabic" w:cs="Simplified Arabic"/>
        <w:sz w:val="20"/>
        <w:szCs w:val="20"/>
        <w:lang w:val="fr-FR"/>
      </w:rPr>
      <w:t xml:space="preserve"> </w:t>
    </w:r>
  </w:p>
  <w:p w14:paraId="6E647AFF">
    <w:pPr>
      <w:pStyle w:val="5"/>
      <w:bidi w:val="0"/>
      <w:jc w:val="center"/>
      <w:rPr>
        <w:rFonts w:ascii="Simplified Arabic" w:hAnsi="Simplified Arabic" w:cs="Simplified Arabic"/>
        <w:b/>
        <w:bCs/>
        <w:sz w:val="20"/>
        <w:szCs w:val="20"/>
        <w:lang w:val="fr-FR" w:bidi="ar-DZ"/>
      </w:rPr>
    </w:pPr>
    <w:r>
      <w:rPr>
        <w:rFonts w:ascii="Simplified Arabic" w:hAnsi="Simplified Arabic" w:cs="Simplified Arabic"/>
        <w:b/>
        <w:bCs/>
        <w:sz w:val="20"/>
        <w:szCs w:val="20"/>
        <w:lang w:val="fr-FR"/>
      </w:rPr>
      <w:t xml:space="preserve">La grille d'analyse, groupe: 105, 2024, </w:t>
    </w:r>
    <w:r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  <w:t>شبكة التقييم، الفوج: 105</w:t>
    </w:r>
  </w:p>
  <w:p w14:paraId="7FDBC14D">
    <w:pPr>
      <w:pStyle w:val="5"/>
      <w:pBdr>
        <w:bottom w:val="single" w:color="auto" w:sz="24" w:space="1"/>
      </w:pBdr>
      <w:rPr>
        <w:rFonts w:ascii="Verdana" w:hAnsi="Verdana"/>
        <w:b/>
        <w:sz w:val="16"/>
        <w:szCs w:val="16"/>
      </w:rPr>
    </w:pPr>
  </w:p>
  <w:p w14:paraId="2FF6B9E2">
    <w:pPr>
      <w:pStyle w:val="5"/>
      <w:bidi w:val="0"/>
      <w:rPr>
        <w:rFonts w:ascii="Simplified Arabic" w:hAnsi="Simplified Arabic" w:cs="Simplified Arabic"/>
        <w:b/>
        <w:bCs/>
        <w:sz w:val="20"/>
        <w:szCs w:val="20"/>
        <w:rtl/>
        <w:lang w:val="fr-FR"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A31ED"/>
    <w:multiLevelType w:val="multilevel"/>
    <w:tmpl w:val="3B0A31ED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Simplified Arabic" w:hAnsi="Simplified Arabic" w:eastAsia="Times New Roman" w:cs="Simplified Arabic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75"/>
    <w:rsid w:val="00001846"/>
    <w:rsid w:val="000302E8"/>
    <w:rsid w:val="0003505E"/>
    <w:rsid w:val="0004741A"/>
    <w:rsid w:val="0007589D"/>
    <w:rsid w:val="00093130"/>
    <w:rsid w:val="000961C3"/>
    <w:rsid w:val="000B2C7B"/>
    <w:rsid w:val="000C60B2"/>
    <w:rsid w:val="000D6C55"/>
    <w:rsid w:val="000E25E4"/>
    <w:rsid w:val="000F6B1B"/>
    <w:rsid w:val="00142B00"/>
    <w:rsid w:val="001C6BB5"/>
    <w:rsid w:val="001D3F8E"/>
    <w:rsid w:val="001D4D99"/>
    <w:rsid w:val="001E0AB7"/>
    <w:rsid w:val="001E4883"/>
    <w:rsid w:val="001E628B"/>
    <w:rsid w:val="002434E1"/>
    <w:rsid w:val="002D357A"/>
    <w:rsid w:val="002F72D9"/>
    <w:rsid w:val="003057F1"/>
    <w:rsid w:val="003131EE"/>
    <w:rsid w:val="00330144"/>
    <w:rsid w:val="003632E6"/>
    <w:rsid w:val="00382264"/>
    <w:rsid w:val="003A3640"/>
    <w:rsid w:val="003C3456"/>
    <w:rsid w:val="00404879"/>
    <w:rsid w:val="0040766B"/>
    <w:rsid w:val="00413518"/>
    <w:rsid w:val="0041403E"/>
    <w:rsid w:val="004242D6"/>
    <w:rsid w:val="00435F1C"/>
    <w:rsid w:val="00436BD5"/>
    <w:rsid w:val="0044381C"/>
    <w:rsid w:val="0047060E"/>
    <w:rsid w:val="0047542F"/>
    <w:rsid w:val="004841EE"/>
    <w:rsid w:val="0049464C"/>
    <w:rsid w:val="004B4F8B"/>
    <w:rsid w:val="004E06A7"/>
    <w:rsid w:val="004F4F98"/>
    <w:rsid w:val="005042DE"/>
    <w:rsid w:val="0051665C"/>
    <w:rsid w:val="00516C1A"/>
    <w:rsid w:val="005245D8"/>
    <w:rsid w:val="00585217"/>
    <w:rsid w:val="005969A6"/>
    <w:rsid w:val="00597F70"/>
    <w:rsid w:val="005B6612"/>
    <w:rsid w:val="005B692D"/>
    <w:rsid w:val="005D5012"/>
    <w:rsid w:val="006A61E8"/>
    <w:rsid w:val="00706891"/>
    <w:rsid w:val="00712EA8"/>
    <w:rsid w:val="007171A4"/>
    <w:rsid w:val="007200B6"/>
    <w:rsid w:val="00726D13"/>
    <w:rsid w:val="007329D0"/>
    <w:rsid w:val="00750FDC"/>
    <w:rsid w:val="00787234"/>
    <w:rsid w:val="007A5107"/>
    <w:rsid w:val="007B2C36"/>
    <w:rsid w:val="007B339D"/>
    <w:rsid w:val="00802B49"/>
    <w:rsid w:val="0081007B"/>
    <w:rsid w:val="00811970"/>
    <w:rsid w:val="008269F8"/>
    <w:rsid w:val="00827185"/>
    <w:rsid w:val="008458C4"/>
    <w:rsid w:val="00850FF4"/>
    <w:rsid w:val="008570D6"/>
    <w:rsid w:val="008C02B9"/>
    <w:rsid w:val="008E6AB4"/>
    <w:rsid w:val="00912F96"/>
    <w:rsid w:val="009139C8"/>
    <w:rsid w:val="009205A7"/>
    <w:rsid w:val="00930974"/>
    <w:rsid w:val="00934EDF"/>
    <w:rsid w:val="00956145"/>
    <w:rsid w:val="009A16E2"/>
    <w:rsid w:val="009B6855"/>
    <w:rsid w:val="009C7873"/>
    <w:rsid w:val="009D71FB"/>
    <w:rsid w:val="009D7847"/>
    <w:rsid w:val="009F7ED8"/>
    <w:rsid w:val="00A178C4"/>
    <w:rsid w:val="00A65E28"/>
    <w:rsid w:val="00AC5550"/>
    <w:rsid w:val="00B11C2F"/>
    <w:rsid w:val="00B138A0"/>
    <w:rsid w:val="00B16EFD"/>
    <w:rsid w:val="00B22C6C"/>
    <w:rsid w:val="00B3520E"/>
    <w:rsid w:val="00B45D16"/>
    <w:rsid w:val="00B64ED7"/>
    <w:rsid w:val="00B7573F"/>
    <w:rsid w:val="00B76472"/>
    <w:rsid w:val="00B76702"/>
    <w:rsid w:val="00B82182"/>
    <w:rsid w:val="00B86FF3"/>
    <w:rsid w:val="00B93C30"/>
    <w:rsid w:val="00BC7870"/>
    <w:rsid w:val="00BD5448"/>
    <w:rsid w:val="00BF0E75"/>
    <w:rsid w:val="00C219D3"/>
    <w:rsid w:val="00C51CAF"/>
    <w:rsid w:val="00CC412A"/>
    <w:rsid w:val="00D00285"/>
    <w:rsid w:val="00D10B22"/>
    <w:rsid w:val="00D17171"/>
    <w:rsid w:val="00D34A75"/>
    <w:rsid w:val="00D409DF"/>
    <w:rsid w:val="00D7381D"/>
    <w:rsid w:val="00D74CEF"/>
    <w:rsid w:val="00D82AC0"/>
    <w:rsid w:val="00DA60C3"/>
    <w:rsid w:val="00DC7BFE"/>
    <w:rsid w:val="00DD4ED8"/>
    <w:rsid w:val="00DD4F3B"/>
    <w:rsid w:val="00E51AA9"/>
    <w:rsid w:val="00E527FF"/>
    <w:rsid w:val="00E81993"/>
    <w:rsid w:val="00E92279"/>
    <w:rsid w:val="00ED3AB3"/>
    <w:rsid w:val="00EF7094"/>
    <w:rsid w:val="00F04E0C"/>
    <w:rsid w:val="00F260D8"/>
    <w:rsid w:val="00F276F3"/>
    <w:rsid w:val="00F60D96"/>
    <w:rsid w:val="00F74599"/>
    <w:rsid w:val="00FA2BB8"/>
    <w:rsid w:val="00FB1F73"/>
    <w:rsid w:val="00FD00CB"/>
    <w:rsid w:val="00FD7933"/>
    <w:rsid w:val="54F0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bidi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رأس الصفحة Char"/>
    <w:basedOn w:val="2"/>
    <w:link w:val="5"/>
    <w:qFormat/>
    <w:uiPriority w:val="99"/>
  </w:style>
  <w:style w:type="character" w:customStyle="1" w:styleId="8">
    <w:name w:val="تذييل الصفحة Char"/>
    <w:basedOn w:val="2"/>
    <w:link w:val="4"/>
    <w:qFormat/>
    <w:uiPriority w:val="99"/>
  </w:style>
  <w:style w:type="table" w:styleId="9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SACC</Company>
  <Pages>4</Pages>
  <Words>466</Words>
  <Characters>2567</Characters>
  <Lines>21</Lines>
  <Paragraphs>6</Paragraphs>
  <TotalTime>2</TotalTime>
  <ScaleCrop>false</ScaleCrop>
  <LinksUpToDate>false</LinksUpToDate>
  <CharactersWithSpaces>3027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2024-04-26T13:46:00Z</dcterms:created>
  <dc:creator>شعيب</dc:creator>
  <cp:lastModifiedBy>Gigahertz</cp:lastModifiedBy>
  <cp:lastPrinted>2024-07-28T13:17:00Z</cp:lastPrinted>
  <dcterms:modified xsi:type="dcterms:W3CDTF">2024-07-28T15:14:22Z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1036-12.2.0.17119</vt:lpwstr>
  </property>
  <property fmtid="{D5CDD505-2E9C-101B-9397-08002B2CF9AE}" pid="3" name="ICV">
    <vt:lpwstr>2307BB5171434C13B9AE49237D479DC6_12</vt:lpwstr>
  </property>
</Properties>
</file>