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D0" w:rsidRPr="00CF7AE8" w:rsidRDefault="008430D0" w:rsidP="008430D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المحاضرة الأولى: الجملة وأنواعها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1-تعريف الجملة :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أ- لغة :« الج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ملة بالضم جماعة الشئ»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2"/>
        <w:t>1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، واعتبر فيها معنى الكثرة ، ومنه أخذ النحاة أن</w:t>
      </w:r>
    </w:p>
    <w:p w:rsidR="008430D0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  الجملة ما تكونت من كلمتين أسندت إحداهما إلى ألأخرى  » 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3"/>
        <w:t>2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، قال تعالى :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sym w:font="AGA Arabesque" w:char="0029"/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وَقَالَ اَلذِينَ كَفَرُوا لَوْلاَ نُزِّلَ عَلَيْهِ القُرْآنُ جُمْلَةً وَاحِدَةً كَذَلِكَ لِنُثَبِّتَ بِهِ فُؤَادَكَ وَرَتَّلْنَاهُ تَرْتِيلاً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sym w:font="AGA Arabesque" w:char="0028"/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[الفرقان:32] إي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مجتمعا لا مفرقا ، ويقال للحساب الذي لم يفصل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والكلام الذي لم يبن تفصيله مجمل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، ويستخدمه الأص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وليون عل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ـــــــــــ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نه ما يحت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ــــــ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اج إلى بيان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، وحقيقة المجمل هو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المش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تمل أشياء كثيرة تحتاج إلى تفصيل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4"/>
        <w:t>3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ب-  اصطلاحا : الجملة مصطلح نحوي ظهر متأخرا في كلام النحاة مقارنة مع المصطلحات الأخرى كـ ( الكلام والكلم ،... ) ثم إنهم قد اختلفوا في تعريف هذا المصطلح  فمنهم من يرى أن الجملة ما تركب من كلمتين أو أكثر وحسن السكوت عليها ،وهذا قول المتقدمين من النحاة وجمع من المتأخرين 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نجده في قول الثمانيني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 الجملة  هي كل كلام مستقل بنفسه يستغني عن غيره واقل ما تكون من جزأين »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5"/>
        <w:t>4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وهذا قول واضح في اشتراطه التركيب مع الفائدة في الجملة ، غير أن هذا القول خالفه بعض المتأخرين حيث تراهم لا يشترطون في الجملة الإفادة ويكتفون با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لتركيب فقط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هذا ما يظهر في تعريفات الجرجاني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( 816هـ ) حيث يقول : « الجملة هي عبارة عن مركب من كلمتين أسندت إحد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اهما إلى الأخرى،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سواء أفادت نحو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( زيد قا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ئم ) أو لم تفد نحو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( إن يكرمني )»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6"/>
        <w:t>5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وهذا قول صريح في عدم اشتراطه الفائدة ، وهذه المسألة تجرنا إلى مسألة اكبر منها ،حيث قلَ أن تجد نحوي إلا وقد تكلم عنها ، وهي مسألة الفرق بين الجملة والكلام ولذلك سأعرضها بشئ من التفصيل متوقفا عند أبرز الآراء النحوية فيها.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2-الجملة والكلام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اختلف النحويون في هذه المسألة على قولين وانقسموا إلى طائفتين :</w:t>
      </w:r>
    </w:p>
    <w:p w:rsidR="008430D0" w:rsidRPr="00AC238E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أ-القائلون بالترادف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وهم الذين يقولون بترادف الكلام 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والجملة وذهب إلى هذا القول جمع من النحاة منهم من صرح بلفظ الجملة ومنهم من لم يصرح بهذا المصطلح ، ولم يرد في كلامه إطلاقا ، وإنما أستنتج ذلك من شواهده  ونذكر منهم  على سبيل المثال سيبويه والمبرد وتلميذه بن السراج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316 هـ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(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إن جني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392 هـ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وتابعهم على ذلك الجرجاني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471 هـ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وذهب إلى هذا الرأي الزمخشري في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t xml:space="preserve">)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مفصله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وابن يعيش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643 هـ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في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)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شرحه على المفصل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ومن علماء القرن الثامن قال بقولهم العالم المفسر الرحالة أبو حيان الأندلسي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745 هـ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</w:t>
      </w:r>
    </w:p>
    <w:p w:rsidR="008430D0" w:rsidRPr="00A20741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أما سيبويه فإنه لم يرد مصطلح الجملة في كتابه على الإطلاق ، وإنما أستنتج ذلك من كلامه  حيث تراه يقول في باب المسند والمسند إليه :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 هما مالا يستغني واحد منهما على الآخر  ولا يجد المتكلم منه بدا  فمن ذلك الاسم المبتدأ والمبني عليه ، وهو قولك " عبد الله أخوك" و" هذا عبد الله"»</w:t>
      </w:r>
      <w:r w:rsidRPr="00CF7AE8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footnoteReference w:customMarkFollows="1" w:id="7"/>
        <w:t>1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 .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وفي موضع آخر يقول :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«ألا ترى لو قلت " فيها عبد الله " حسن السكون وكان كلام مستقيما  »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8"/>
        <w:t>2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، فإذا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دققت النظر في كلامه وأمثلته وجدت انه يشترط في الكلام التركيب مع الفائدة ، وهذا ما تبلور عند من جاؤوا بعده حيث يشترطون في الكلام 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فس الشرط ويجعلونه في مقابل الجم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ة فقول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هذا عبد الله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" و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فيها عبد الله " جملت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تامتان لا تحتاجان إلى شيء نضيفه ، عكس قوله " هذا " فانه ليس كلاما لأنه لا يحسن السكوت عليه . </w:t>
      </w:r>
      <w:r w:rsidRPr="00CF7AE8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footnoteReference w:customMarkFollows="1" w:id="9"/>
        <w:t>3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ab/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ثم إذا انتقلنا إلى القرن الثالث للهجري وجدنا أبو العباس المبرد يستعمل في كتابه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)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المقتضب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مصطلح الجملة لأول مرة في تاريخ النحو ، فتجده يقول في باب "الفاعل" :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 إنما كان الفاعل رفعا لأنه هو والفاعل جملة يحسن السكوت عليها وتجب بها الفائدة للمخاطب »</w:t>
      </w:r>
      <w:r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footnoteReference w:customMarkFollows="1" w:id="10"/>
        <w:t>1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فاشترط التركيب في قوله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"الفعل مع الفاعل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ومثل له بقوله : " قام عمر " والفائدة التي يحسن السكوت عليها . بالإضافة إلى تصريحه بلفظ الجملة وهذا كفيل للدلالة على مرادفة الكلام للجملة عنده  ، ومما يدل على ذلك دلالة واضحة أيضا ما جاء في باب المسند إذ يقول : « فالابتداء نحو قولك "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زيد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فإذا ذكرته ، فإنما تذكره للسامع ليتوقع ما تخبره به فإذا قلت  " منطلق " ، وما أشبهه صح معنى الكلام وكانت الفائدة للسامع في الخبر»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11"/>
        <w:t>2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ومن قوله هذا تتبيَن أنه لا يتكون لدينا كلام إلا باقتران التركيب مع الإفادة ، وبالعودة إلى ما قاله في باب "  الفاعل "  نجد انه اصطلح على الكلام الموجب للفائدة بالجملة ، وهذا ما يزيدنا دلالة  أن الكلام والجملة مترادفين ، وهذا ما يتجلى عند تلميذه صاحب كتاب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الأصول في النحو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أبو بكر السراج ، حيث أنه يفضل رأي أستاذه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ويتبناه فتراه يقول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: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 والاسم الذي يرتفع بأنه فاعل هو والفعل جملة يستغنى عليها للسكوت وتتم به الفائدة »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footnoteReference w:customMarkFollows="1" w:id="12"/>
        <w:t>3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. والفعل والفاعل عنده بمنزلة الابتداء والخبر ودليل هذا في قوله :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والفعل والفاعل عنده بمنزلة الابتداء والخبر ألا ترى أنك إذا قلت " قام زيد " فهو بمنزلة " القائم زيد " ، وهذا نقل دقيق بأمانة برأي أستاذه المبرد  »</w:t>
      </w:r>
      <w:r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footnoteReference w:customMarkFollows="1" w:id="13"/>
        <w:t>4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وفي نفس القرن الذي توفى فيه ابن السراج ظهر العالم أبو عثمان بن جني مؤلف كتاب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الخصائص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والذي جاء محملا برأيه بهذه المسألة ، إذ انه يرى رأي المبرد وتلميذه أبو السراج رحمهما الله ، فتراه يذكر مصلح الجملة بوضوح إثناء تعريفه للكلام حيث يقول : </w:t>
      </w:r>
    </w:p>
    <w:p w:rsidR="008430D0" w:rsidRPr="00A20741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 الكلام في لغة العرب كل لفظ مستقل بنفسه مفيد لمعناه ، وهو الذي يسميه النحويون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الجمل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footnoteReference w:customMarkFollows="1" w:id="14"/>
        <w:t>5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وهذا قول صريح واضح لا تأويل فيه ، فابن جني يرى أن الكلام يرادف الجملة   فشرط الكلام أو الجملة عنه الإفادة مع التركيب ، وقد ضرب أمثلة لمختلف التراكيب المفيدة ، نحو: " زيد أخوك ، وقام محمـد ، وفي الدار زيد ، وضرب زيد ، وصه ، ومه ، ... " فكل مثال من هذه الأمثلة إن أفاد فائدة يحسن السكوت عليها فهو كلام وبالتالي هو جملة كما اصطلحوا . ثم إذا تطرقنا إلى إسهامات نحات القرن الخامس في النحو وعلى رأسهم العلامة أبو بكر الجرجاني صاحب كتاب 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الجمل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الذي عرض فيه مختلف المسائل النحوية عكس ما يتوهم القارئ للعنوان ، لأن النحاة كانوا يطلقون هذا المصطلح عرضا ومقصودهم في ذلك التركيب المبني عليه الكلام الذي تتم به الفائدة ، وقد تقدمه في إطلاق هذا العنوان على بعض مصنفاته أبو إسحاق الزجاج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337 )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هـ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إلا انه لم يورد هذا المصطلح  في مضمون كتابه وإنما عرض فيه مختلف أبواب النحو التي عرفت عند النحاة ، كـ :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باب الأفعال ، الابتداء  وغير ذلك ، ...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. أما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lastRenderedPageBreak/>
        <w:t xml:space="preserve">الجرجاني فقد صرح بهذا المصطلح ، حيث يقول 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اعلم أن الواحد من الاسم و الفعل والحرف يسمى كلمة فإذا ائتلف منها اثنان فأفادا ، نحو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خرج زيد " سمي كلاما وسمي جملة »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15"/>
        <w:t>1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. فعبارته الأخيرة التي أوردها في غاية الوضوح  فالكلام والجملة عنده مترادفين أما إذا أخذنا بما جاء في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مفصل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الزمخشري  ، فسوف نجد الرأي نفسه حيث يقول: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«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الكلام هو المركب من كلمتين أسندت إحداهما إلى الأخرى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وذلك لا يتأتى إلا في اسمين كقولك : " زيد أخوك " أو فعل واسم ، نحو قولك  : " ضرب زيد "، ويسمى الجملة »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customMarkFollows="1" w:id="16"/>
        <w:t>2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. بل قال كلاما أوضح من هذا في كتابه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المفرد والمؤلف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: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وتسمى الجملة كلاما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customMarkFollows="1" w:id="17"/>
        <w:t>3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. وقد تبعه على هذا الرأي صاحب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شرح المفصل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أبو البقاء بن يعيش حيث يقول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 اعلم أن الكلام عند النحويين عبارة عن كل لفظ مستقل بنفسه مفيد لمعناه وهو الذي يسميه النحويون " الجمل " »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customMarkFollows="1" w:id="18"/>
        <w:t>4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. وهذا الرأي لا يخرج عن آراء سابقيه من النحاة القائلين بترادف الكلام والجملة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أما أبو حيان الأندلسي فإنه رغم معاصرته للرضي وابن هشام الذيْن خالفا سيبويه في هذه المسألة إلا أن رأيه جاء موافقا لرأي سيبويه إذ يقول: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«والصحيح أن الكلام هو الجملة... وهو ظاهر كلام سيبويه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customMarkFollows="1" w:id="19"/>
        <w:t>1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. وهذا ترجيح جلي منه مع ما يظهر من كلامه أنه لم يقله إلا بعد الإطلاع على أقوال المخالفين ، فكان الراجح عنده ما ذكر، وممن ذهب إلا هذا الرأي أيضا من المتأخرين </w:t>
      </w:r>
      <w:r w:rsidRPr="00CF7AE8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ابن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ناضر الجيش ، وشيخ الإمام السيوطي العلامة الكافيجي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lastRenderedPageBreak/>
        <w:t>ب – القائلون بعدم الترادف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:  وهم الذين يرون  عدم ترادف الكلام والجملة ، وذهب إلى هذا الرأي جمع من النحاة المتأخرين ، منهم شارح الكافية الرضي الاستـــــر آباذي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686 هـ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 وابن هشام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761 هـ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في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المغني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والشريف الجرجاني في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التعريفات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وصاحب جمع الجوامع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>أما الرضي الاستر آباذي فإنه يفرق بين الجملة والكلام خلافا لمن سبقه فتراه يقول :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«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>والفرق بين الكلام والجملة أن الجملة ما تضمن الإسناد الأصلي سواء كانت مقصودة لذاتها أولا ، كالجملة التي هي خبر المبتدأ ، والكلام  ما تضمن الإسناد الأصلي وكان مقصودا لذته ، فكل كلام جملة ولا ينعكس  ...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val="fr-FR"/>
        </w:rPr>
        <w:footnoteReference w:customMarkFollows="1" w:id="20"/>
        <w:t>2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. وهذا قول في غاية الوضوح في التفريق بين الكلام والجملة ، وأن الجملة عنده أهم من الكلام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>أما ابن هشام رحمه الله  فهو أول من درس الجملة دراسة مستفيضة ، مع التفصيل الذي لم يسبقه إليه أحد من النحاة حيث قال بعد تعريف الجملة والكلام: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والصواب أنها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الجملة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أعم منه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الكلام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إذ شرطه الإفادة بخلافها ، ولهذا تسمعهم يقولون جملة الشرط  ، وجملة الجواب ، جملة الصلة ، وكل ذلك ليس مفيدا وليس كلاما ...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customMarkFollows="1" w:id="21"/>
        <w:t>3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. وهذا دليل على أن ابن هشام  يرى أن الكلام اعم من الجملة ، لأنه يشترط فيها التركيب فقط ، أما الكلام فيشترط فيه الإفادة مع التركيب ، وقد نظم في هذا المعني ناظم المغني في قوله :</w:t>
      </w:r>
    </w:p>
    <w:p w:rsidR="008430D0" w:rsidRPr="00CF7AE8" w:rsidRDefault="008430D0" w:rsidP="008430D0">
      <w:pPr>
        <w:jc w:val="center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لفظ مركب مفيد كامتثل *** هو كلام فافهم ما نقل</w:t>
      </w:r>
    </w:p>
    <w:p w:rsidR="008430D0" w:rsidRPr="00CF7AE8" w:rsidRDefault="008430D0" w:rsidP="008430D0">
      <w:pPr>
        <w:jc w:val="center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>في جملة خلو الإفادة  أتى *** وهي التي تركيبها قد ثبتا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customMarkFollows="1" w:id="22"/>
        <w:t>1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ab/>
        <w:t xml:space="preserve">وقد ذهب هذا المذهب صاحب التعريفات الشريف الجرجاني حين عرف مصطلح الجملة فقال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الجملة عبارة عن مركب من كلمتين أسندت إحداهما إلى الأخرى سواء أفادت ، كقولك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زيد قائم "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أو لم تفد ، كقولك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: " إن يكرمني " ... فتكون الجملة أعم من الكلام مطلقا 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customMarkFollows="1" w:id="23"/>
        <w:t>2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.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وهذا دليل على أن الجملة اعم من الكلام في رأيه لأنها لا تشترط فيها إلا الإفادة وهو الذي استنتجه بعد ذلك بقوله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فتكون الجملة أعم من الكلام مطلقا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ab/>
        <w:t xml:space="preserve">ومن الذين قالوا بهذا القول أيضا صاحب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جمع الجوامع في العربية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حيث تجده يقول في متن الهمع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الجملة ترادف الكلام والأصح أعم لعدم شرط الفائدة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customMarkFollows="1" w:id="24"/>
        <w:t>3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. والملاحظ في قوله هذا أن الجملة أعم من الكلام ، لأنها لا تشترط فيها الفائدة . في حين أن الكلام يشترط فيه التركيب والإفادة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2-  تعريف الجملة عند المحدثين :  إذا نظرنا في مناهج علمائنا المحدثين فإننا نجدهم ينقسمون إلى طائفتين ، منهم من درس النحو العربي كما درسه القدماء فلم يزد على ذلك  شيء  إلا بعض الترجيحات النحوية التي يرها صحيحة كما هو معروف عند القدماء ، ومنهم من تأثر بالدراسات الغربية فخرج عن المنحى الذي سار عليه القدماء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أما الذين درسوا النحو على أصله القديم كما توارثوه عن مشايخهم ، فمن أبرزهم مصطفي الغلاييني صاحب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جامع الدروس العربية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واحمد الهاشمي صاحب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lastRenderedPageBreak/>
        <w:t xml:space="preserve">القواعد الأساسية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الذيْن رجحا قول ابن هشام في التفريق بين الجملة والكلام ، فإذا قرأت تعريف أحمد الهاشمي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1362 هـ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للجملة تبيّن لك ذلك ، حيث قال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الجملة قول مركب أفاد أو لم يفــد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25"/>
        <w:t>1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ويرى الشيخ مصطفي الغلاييني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1363هـ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نفس الرأي ، حيث يرجح قول من يرى أن الجملة أعم من   الكلام ، إذ يقول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الجملة قول مؤلف من مسند وسند إليه ... ولا يشترط فيما نسميه جملة أو مركبا إسناد يا أن يفيد معنى تاما مكتفيا بنفسه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customMarkFollows="1" w:id="26"/>
        <w:t>2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. وقد تابعهم على هذا القول بعض المعاصرين ، كأسعد النادري في كتابه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نحو اللغة العربية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إذ يقول بعد أن نقل كلام ابن هشام والغلاييني 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 وليست مرادفة للكلام بخلاف ما ذهب إليه صاحب المفصل»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customMarkFollows="1" w:id="27"/>
        <w:t>3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.وذهبت إلى هذا القول أيضا الدكتورة عزيزة فؤال في كتابها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المفصل في النحو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ويظهر  ذلك جليا في قولها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ذهب جماعة من النحاة إلى أن الجملة والكلام مترادفين، والحقيقة تثبت عكس ذلك تماما لأن الجملة اعم من الكلام ... 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28"/>
        <w:t>4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. أما عباس حسن صاحب كتاب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النحو الوافي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فإنه  بقي متشبثا  برأي المبرد وابن السراج وغيرهم حيث قال في أول كتابه :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 الكلام أو الجملة : هو ما تركب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من كلمتين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أو أكثر وله معنى مستقل...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val="fr-FR"/>
        </w:rPr>
        <w:footnoteReference w:customMarkFollows="1" w:id="29"/>
        <w:t>5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>. وبقوله هذا فهو يرى أن الجملة والكلام مترادفين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lastRenderedPageBreak/>
        <w:tab/>
        <w:t>أما المحدثين الذين نهلوا من العلوم الغربية الحديثة فقد اختلفوا في تعريف الجملة فمنهم من يشترط الإسناد ومنهم من لا يشترط ، ومن أبرز من اهتم بدراسة الجملة من المحدثين مهدي مخزومي ، حيث يعرفها بأنها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 الصورة اللفظية  الصغرى للكلام المفيد في أية لغة من اللغات ، وبأنها أقل قدرا من الكلام الذي يفيد السامع معنى مستقلا بنفسه 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30"/>
        <w:t>1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>. ويشترط فيه الإسناد لذلك أخذ الإسناد على ابن هشام عده لأسلوب النداء جملة ، كقولهم :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"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يا عبد الله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فإن مثل هذا لا يعدوا أن يكون إلاّ أداة للتنبيه ، ومن هذا نستنتج أن التركيب الذي لا إسناد فيه مثل" أسلوب النداء " لا يعده جملة على الإطلاق . وممن ذهب إلى هذا الرأي متمسكا بقيمة الإسناد إبراهيم</w:t>
      </w: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السامرائي الذي يقول : « ولن نخرج في بحثنا في مسألة الجملة عن الإسناد ، فالجملة كيفما كانت اسمية أو فعلية قضية اسنادية 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31"/>
        <w:t>2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 وخالفهم الرأي إبراهيم أنيس في كتابه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أسرار العربية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حيث يرى أن فكرة الإسناد في تركيب الجملة صحيحة ويظهر ذلك جليا في قوله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 إن الجملة في أقصر صورها هي أقل قدرا من كلام يفيد السامع معنى مستقلا بنفسه سواء تركب من كلمة واحدة أو أكثر»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32"/>
        <w:t>3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 وقد وافقه هذا الرأي الأستاذ  محمد حماسة عبد الطيف بعد أن تطرق إلى مختلف الآراء في الجملة دراسة وتحليلا ،  إذ يقول : « نحن نرتضي تعريف الجملة لديهم ونرفض اشتراط الإسناد مقوما من مقوماتها 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val="fr-FR"/>
        </w:rPr>
        <w:footnoteReference w:customMarkFollows="1" w:id="33"/>
        <w:t>4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 xml:space="preserve">3- تعريف الجملة عن الغربيين :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إن مصطلح الجملة مهم جدا ولذا أولاه الدارسون أهمية بالغة في دراساتهم سواء منهم الغربيون أو العرب ،  ولذلك سأتطرق إلى بعض التعريفات الغربية التي أراها جامعة ومضنية ، إذ أن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lastRenderedPageBreak/>
        <w:t xml:space="preserve">الدراسات عن الجملة طويلة ومتسلسلة ومنذ عهد أفلاطون إلى عصرنا الحالي وقد تعددت الآراء حتى بلغت عند بعض الدارسين ما يزيد عن ثلاثمائة تعريف منها :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>-  تعريف ثراكس : وعالم الإسكندرية في القرن الأول قبل الميلاد ، حيث يقول :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الجملة نسق من الكلمات يؤدي إلى فكرة تامة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val="fr-FR"/>
        </w:rPr>
        <w:footnoteReference w:customMarkFollows="1" w:id="34"/>
        <w:t>5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. وهذا تعريفا قال به الكثير من النحاة فيما بعد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- تعريف فيند ريس : إذا تمعنا النظر في تحليل فيندريس للجملة فإننا نجدها عنده بأنها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:       «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الصيغة التي يعبر بها عن الصورة اللفظية والتي تدرك بواسطة الأصوات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customMarkFollows="1" w:id="35"/>
        <w:t>1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. والمقصود من الصورة اللفظية في قوله الصورة الذهنية أو النظام المخزون في عقل الإنسان والجملة هي الصورة اللغوية المنطوقة ،فول وخزني الإنسان مثلا فقلت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لقد وخزتني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فالإحساس بالوخز أدى إلى نقله إلى السيالة العصبية ومن ثم يتم استدعاء مباشر للصورة لفظية  من الذهن تترجم بصورة لغوية باللسان ، وهذا ما يطلق عليه اسم جملة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4- تقسيم الجملة :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تنقسم الجملة وفق معيارين </w:t>
      </w:r>
      <w:r w:rsidRPr="00CF7AE8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اثنين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هما :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المعيار الأول : التركيب الداخلي للجملة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lang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أ-عند القدماء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: إذا تأملنا بعض تعريفات النحاة القدامى للجملة نجدهم يقسمونها إلى اسمية وفعلية وهذا ما يظهر في كلام سيبويه ، إذ يقول في باب 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المسند والمسند إليه " : « فالاسم المبتدأ  والمبني عليه وهو قولك " عبد الله أخوك " و " هذا عبد الله " ومثل ذلك قولـــك " يذهب زيد "»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36"/>
        <w:t>2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 فلا بد للفعل من اسم ،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وكذلك لا بد للاسم من اسم آخر يسند إليه لكي تتم الفائدة ، فالجملة الأولى " هذا عبد الله " والثانية  " يذهب زيد " فعلية ، ولعل قول ابن السراج أوضح : «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والجمل المفيدة على ضربين : إما فعل وفاعل وإما مبتدأ وخبر 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customMarkFollows="1" w:id="37"/>
        <w:t>3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. إذا الجملة الاسمية حسب هذه التعريفات هي ما بدأت باسم سواء تركبت من اسمين أو اسم وفاعل ، والجملة الفعلية هي ما صدرت بفعل سواء فعلا ماضيا أو مضارعا أو أمر ، نحـو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ذهب زيد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. وهذا قول أغلب النحاة الأوائل ، إلا أن ابن جني بعد أن عرف الكلام  ضرب عدت أمثلة من التراكيب المختلفة ، نحو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قام عمرو  يذهب زيد ، في الدار أبوك  صهْ ، مهْ ، ورويدا ، و ... " وهذا ما يتيح الفرصة لدراسة أنماط  مختلفة من التراكيب . ثم جاء الزمخشري فأشار إلى أن الجملة تنقسم إلى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أربعة أقسام فقال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والجملة على أربعة أضرب فعلية  واسمية وشرطية وظرفية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customMarkFollows="1" w:id="38"/>
        <w:t>1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. واعترض عليه شارح المفصل أبو البقاء بن يعيش في قوله :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« اعلم أنه قسمها إلى أربعة أقسام : اسمية وفعلية وشرطية وظرفية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 وهذه قسمة بن علي الفارسي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val="fr-FR" w:bidi="ar-DZ"/>
        </w:rPr>
        <w:footnoteReference w:customMarkFollows="1" w:id="39"/>
        <w:t>*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وهي قسمة لفظية   وهي في الحقيقة ضربان اسمية وفعلية »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40"/>
        <w:t>2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 والملاحظ أنه بقسمته هذه أرجعها إلى أصل القسمة التي كانت عليها عند سيبويه ومن جاء بعده و أوّل الشرطية بأنها مركبة من جملتين فعلتين ، فالشرط فعل وفاعل ، والجزاء فعل وفاعل . والظرف في الحقيقة للخبر الذي هو "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استقر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وهو فعل وفاعل وبالتالي فهي جملة فعلية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 xml:space="preserve">إلا أن الذي اهتم من النحاة بالجملة اهتماما كبيرا هو ابن هشام في كتابه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مغني اللبيب عن كتب الأعاريب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حيث فصل في هذه المسألة أيما تفصيل ، وقسمها إلى ثلاثة أقسام : اسمية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>و فعلية  وظرفية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- فالاسمية : هي التي تصدر باسم ، نحو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زيد قائم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- والفعلية : هي التي صدرها فعل ، نحو : " قام زيد " و " ضرب اللص "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والظرفية : هي المصدرة بظرف أو جار ومجرور ، نحو " أعندك زيد "  و " في الدار زيد " .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ab/>
        <w:t xml:space="preserve">والمراد بصدر الجملة عنده ما كان أصلا في الصدارة ، فلا عبرة بما تقدمه من الحروف نحو " ما زيد قائم " و  " أقائم زيد " فهاتان الجملتان اسميتان وإن تصدرهما النفي أو الاستفهام ، وكذلك جملة " كيف جاء زيد " ، وقوله تعالى :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sym w:font="AGA Arabesque" w:char="0029"/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وَلَقَد آتَيْنَا مُوسَى َاْلِكتَابَ وَقَفّيْنَا مِن بَعْدِهِ بَالرّسُلِ وَآتَيْنَا عِيسَى ابْنِ مَرْيَمَ البَيّّّنَاتِ وَأَيّدْنَاهُ بِرُوحِ الُقُدُسِ َأفَكُلّمَا جَآءَكُمْ رَسُولُ بِمَا لاَ تَهْوَى َأنْفُسُكُمُ اسْتَكْبَرْتُمْ فَفَرِيقًا كَذّبْتُمْ وَفَرِيقًا تَقْتُلُونَ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sym w:font="AGA Arabesque" w:char="0028"/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[ البقرة : 87 ] جملتان فعليتان ، وكذلك قوله تعالي :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sym w:font="AGA Arabesque" w:char="0029"/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وَاللّيْلِ إِذَا يَغْشَى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sym w:font="AGA Arabesque" w:char="0028"/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[ الليل :1 ] وقولك : " يا عبد الله " جملتان فعليتان لأن أصلهما " أقسم و الليل " و " أدعو عبد الله "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ب-عند المحدثين :  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انقسم في هذه المسألة المحدثون إلى طائفتين :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-الطائفة الأولى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وهم الذين نقلوا لنا النحو العربي القديم ودرسوه على الطريقة القديمة ، التي كان عليها النحاة الأوائل ، ولذلك نجد أرائها التي أثبتوها هي نفس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أراء القدماء ومن أهم النحاة الذين وقفت على  أرائهم الغلاييني  أحمد الهاشمي ، حيث أنهما يرياني أن الجملة تنقسم إلى قسمين اسمية وفعلية وهذا قول سيبويه والمبرد وغيرهما .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-الطائفة الثانية : 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هم النحاة الذين تأثروا بالدراسات الغربية الحديثة ورأوا أن الكلام في اللغة العربية يحتاج إلى تقسيم جديد في ضوء الدراسات الحديثة ، وبالتالي تغيير التقسيم الذي كانت عليه الجملة قديما ، ومن اللذين كانت لهم جهود في إعادة تقسيم الجملة حسن عون حيث قسم الكلمة العربية إلى ثمانية أقسام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الاسم والفعل والحرف والصفة والضمير والإشارة  والموصول والظرف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ولكن رَدّتقسيمه هذا لأنه ليس نابع من داخل اللغة العربية ، بل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مستمد عن اللغات الأخرى مثل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أللاتينية واليونانية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ولأن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ما ينطبق على لغة قد لا ينطبق على أخرى»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41"/>
        <w:t>1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 ثم جاء من بعده إبراهيم أنيس فقدم تقسيما جديدا للكلمة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: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-الاسم : ويندرج ضمنه الاسم العام والعلل والخاص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-الضمير : وتندرج تحته الضمائر وألفاظ الإشارات والموصولات والعدد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-الفعل : والمقصود به عنده ما يفيد الحدث في زمن معين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الأداة : وتتضمن ما بقي من ألفاظ ومنها الحروف والظروف وغير ذلك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ولكن هذا التقسيم الذي قدمه يبقى فيه قصور لأن الأسس التي وضعها مجملة ، فأندرج العدد تحت الضمير ، والصفة تحت الاسم ، ولم نستطع تصنيف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اسم الفعل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داخل هذه الأقسام لأنه ينفرد بخصائصه . وعلى إثرهما سار الدكتور تمام حسان فقام بتقسيم الكلمة العربية إلى سبعة أقسام :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lastRenderedPageBreak/>
        <w:t>-الاسم : ويشتمل اسم الجنس واسم الحدث وأسماء ا لزمان والمكان والأسماء المبهمة وجميع الأسماء -  الصفة : وهي صفة الفاعل والصفة المشبهة وصفة المفعول وصيغ المبالغة وصفة التفضيل.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- الفعل : ويشمل جميع أنواع الأفعال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ماضي ، مضارع ، أمر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>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>- الضمير : وهو ما دل على حضور أو تكلم أو خطاب أو إشارة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>- الظروف : وهي المباني التي تقع في نطاق المبنيات غير المصرفة ، نحو : إذ ، إذا ، لما ، أيان  متى  وغير ذلك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- الخوالف : وهي كلمة تدل في أساليب إفصاحية أي في الأساليب التي تستعمل للكشف عن موقف انفعالي ما  كخالفة الإخالة ويسميها النحاة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اسم الفعل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وخالفة الصوت ويسميها النحاة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اسم الصوت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وخالفة التعجب وهي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صيغ التعجب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وخالفة المدح وهي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أفعال المدح والذم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 xml:space="preserve"> (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val="fr-FR"/>
        </w:rPr>
        <w:footnoteReference w:customMarkFollows="1" w:id="42"/>
        <w:t>1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- الأداة : وهي إما أصلية كالحروف ذات العاني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حروف الجر وحروف النسخ وحروف العطف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أو محولا من الظرفية إذ تستعمل الظروف في تعليق حروف الاستفهام والشرط ، أو الاسمية كاستعمال بعض الأسماء المبهمة ، أو فعلية كتحويل بعض الأفعال التامة إلى صورة الأداة مثل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كان وأخواتها وكاد ...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أو ضميرية  كنقل 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)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من وما و أي</w:t>
      </w:r>
      <w:r w:rsidRPr="00CF7AE8">
        <w:rPr>
          <w:rFonts w:ascii="Simplified Arabic" w:hAnsi="Simplified Arabic" w:cs="Simplified Arabic"/>
          <w:sz w:val="32"/>
          <w:szCs w:val="32"/>
          <w:lang w:val="fr-FR"/>
        </w:rPr>
        <w:t>(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على معاني الشرط والاستفهام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val="fr-FR"/>
        </w:rPr>
        <w:footnoteReference w:customMarkFollows="1" w:id="43"/>
        <w:t>2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وعلى هذه التقسيمات الحديثة للكلمة يتغير تقسيم الجملة العربية ويصبح تقسيمها كالتالي :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lastRenderedPageBreak/>
        <w:t>القسم الأول : الجمل التامة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: وهي الجمل الإسنادية التي يكون فيها الإسناد مقصودا لذته ولا يجوز حذف المسند أو المسند عليه إلا إذا دلت عليه قرينة ، وهي بدورها تنقسم إلى ثلاثة أقسام :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أ-الجملة الاسمية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: وهي ما تكونت من مسند ومسند إليه أو مبتدأ وخبر ، والمبتدأ لا بد أن يكون اسما أو ضميرا مرفوعا ، وكذلك الخبر يجب أن يكون وصفا أو ما ينقل إليه من الاسم أو الجملة أو الجار والمجرور أو الظرف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val="fr-FR"/>
        </w:rPr>
        <w:footnoteReference w:customMarkFollows="1" w:id="44"/>
        <w:t>1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>، نحو قوله تعالى :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sym w:font="AGA Arabesque" w:char="0029"/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اللهُ نُورُ السّمَاوَاتِ وَالأَرْضِ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sym w:font="AGA Arabesque" w:char="0028"/>
      </w:r>
      <w:r>
        <w:rPr>
          <w:rFonts w:ascii="Simplified Arabic" w:hAnsi="Simplified Arabic" w:cs="Simplified Arabic"/>
          <w:sz w:val="32"/>
          <w:szCs w:val="32"/>
          <w:rtl/>
        </w:rPr>
        <w:t xml:space="preserve"> [ النور : 35 ]</w:t>
      </w:r>
      <w:r w:rsidRPr="00CF7AE8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ب- الجملة الفعلية</w:t>
      </w:r>
      <w:r w:rsidRPr="00CF7AE8">
        <w:rPr>
          <w:rFonts w:ascii="Simplified Arabic" w:hAnsi="Simplified Arabic" w:cs="Simplified Arabic"/>
          <w:sz w:val="32"/>
          <w:szCs w:val="32"/>
          <w:rtl/>
        </w:rPr>
        <w:t xml:space="preserve"> : وهي ما تكونت من فعل وفاعل ، أو فعل ونائب فاعل ، وشرط الفعل ان يكون ماضيا أو مضارعا غير مبدوء بالهمزة أو النون أو الياء للمخاطب الواحد ، أو أمرا لغير المخاطب الواحد ، نحو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جلس عمرو " و " قام بكر "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/>
        </w:rPr>
        <w:t>جـ- الجملة الوصفية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وهي ما تألف من وصف اسم الفاعل أو صفة مشبهة أو صيغة مبالغة  أو اسم مفعول ، نحو : " أناجح أخوك " ، و " أمحبوب المجتهد " 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القسم الثاني : الجملة الموجزة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وهي التي يذكر فيها عنصر واحد من عناصر الإسناد ويحذف الآخر إما للوجوب أو غالبا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45"/>
        <w:t>2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، ومثاله في قوله تعالى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: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sym w:font="AGA Arabesque" w:char="0029"/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طَاعَةٌ وَقَوْلٌ مَّعْرُوفٌ فَإِذَا عَزَمَ الأَمْرُ فَلَوْ صَدَقُوا اللهَ لَكَانَ خَيْرًا لَّهُمْ 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sym w:font="AGA Arabesque" w:char="0028"/>
      </w:r>
      <w:r w:rsidRPr="00CF7AE8">
        <w:rPr>
          <w:rFonts w:ascii="Simplified Arabic" w:hAnsi="Simplified Arabic" w:cs="Simplified Arabic"/>
          <w:sz w:val="32"/>
          <w:szCs w:val="32"/>
          <w:rtl/>
        </w:rPr>
        <w:t xml:space="preserve">  [ محم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r w:rsidRPr="00CF7AE8">
        <w:rPr>
          <w:rFonts w:ascii="Simplified Arabic" w:hAnsi="Simplified Arabic" w:cs="Simplified Arabic"/>
          <w:sz w:val="32"/>
          <w:szCs w:val="32"/>
          <w:rtl/>
        </w:rPr>
        <w:t>د : 21 ]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ففي هذه الجملة إما أن يكون المبتدأ هو المضمر والتقدير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أمري طاعة وقول معروف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وإما أن يكون الخبر هو المضمر والمبتدأ مذكور والتقدير :  " طاعة وقول معروف أمثل " ومثاله أيضا في قوله تعالى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: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sym w:font="AGA Arabesque" w:char="0029"/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سُورَةٌ  أَنْزَلْنَاهَا وَفَرَضْنَاهَا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>وَأَنْزَلْنَا ف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>ِ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يهَا آيَاتِ بَيِّنَاتٍ لَّعَلَّكُمْ تَذَكَّرُونَ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sym w:font="AGA Arabesque" w:char="0028"/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[ النور : 1 ] ففي ه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ذه الآية المبتدأ محذوف ،  تقديره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هذه " وتنقسم الجملة الموجزة بدورها إلى ثلاثة أقسام :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أ-الجملة الفعلية الموجزة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كل فعل استتر فاعله وجوبا عند النحاة كالفعل المضارع المبدوء بالهمزة نحو : " أكلم  أوافق، ... " أو الفعل المضارع المبدوء بالتاء ، نحو : " تتكلم ... "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أو فعل أمر للمخاطب الواحد ، نحو : " استقم ، ... "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ب-الجملة الاسمية الموجزة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: هي كل اسم أفاد معنى يحسن السكوت عليه ، نحو قولنا :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الهلال والله " فأوجزت الكلام ، والتقدير : " هذا الهلال والله "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أو قولي عند رؤيــتي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شخصا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عبد الله وربي " والتقدير : " ذاك عبد الله وربي " ومثاله في قوله تعالى :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sym w:font="AGA Arabesque" w:char="0029"/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وَلَوْلا فَضْلُ اللهِ عَلَيْكُمْ وَرَحْمَتًهُ وَأَنَّ اللهَ تَوَّابٌ حَكِيمٌ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sym w:font="AGA Arabesque" w:char="0028"/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[ النور : 10 ] .ففي هذه الحالة يعرب المبتدأ اسم مرفوع محذوف بعد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لولا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والتقدير : " لولا وجود ... "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جـ-الجملة الجوابية الموجزة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وهي « كل ما كان إجابة لسؤال مكتفيا بنفسه مفهما  للمراد »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46"/>
        <w:t>1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 نحو قوله تعالى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: </w:t>
      </w:r>
      <w:r w:rsidRPr="00CF7AE8">
        <w:rPr>
          <w:rFonts w:ascii="Simplified Arabic" w:hAnsi="Simplified Arabic" w:cs="Simplified Arabic"/>
          <w:sz w:val="32"/>
          <w:szCs w:val="32"/>
          <w:lang w:val="fr-FR" w:bidi="ar-DZ"/>
        </w:rPr>
        <w:sym w:font="AGA Arabesque" w:char="0029"/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أَلَسْتُ بِرَبِّكُمْ قَالُوا بَلَى  شَهِدْنَا أَن تَقُولُوا يَوْمَ القِيَامَةِ إِنَّا كُنَّا عَنْ هَذَا غَافِلِينَ </w:t>
      </w:r>
      <w:r w:rsidRPr="00CF7AE8">
        <w:rPr>
          <w:rFonts w:ascii="Simplified Arabic" w:hAnsi="Simplified Arabic" w:cs="Simplified Arabic"/>
          <w:sz w:val="32"/>
          <w:szCs w:val="32"/>
          <w:lang w:bidi="ar-DZ"/>
        </w:rPr>
        <w:sym w:font="AGA Arabesque" w:char="0028"/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[ الأعراف : 172 ] ومثاله أيضا في جوابك على من سألك عن أخيك قائلا : " هل زين الدين أخوك ؟ " فتقول : " نعم " فهذه الكلمة كفيلة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بإيراد فائدة يحسن السكوت عليها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lastRenderedPageBreak/>
        <w:t xml:space="preserve">القسم الثالث : الجمل غير الإسنادية :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هي الجمل التي تعد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/>
        </w:rPr>
        <w:t>ّ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تعبيرا انفعاليا سواء كان تعجبا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أو مدحا أو ذم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ّ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 ، وتندرج تحتها عدة أنواع من الجمل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1-جملة الخالفة : وهي الجملة التي تبدأ بإحدى الخوالف التي ذكرها تمام حسن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1-1-خالفة الإخالة :كما اصطلح عليه تمام حسان ،وخالفه في هذا مح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ـ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مد حماسة عبد الطيف  وفضل أن تبقى التسمية التي أطلقها عليها القدماء ، وهي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اسم الفعل " نحو : " هيهــات  صهْ ، أوَّهْ ، ... "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1-2-خالفة التعجب : وهي صيغتا التعجب " ما أفعله " و " أفعل به " نحو : " ما أحسن زيد " و " أحسن يزيد "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1-3-خالفة المدح والذم :  وهي جملة المدح أو الذم وتكون مبدوءة بـ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نعْم أو بئْس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أو حبذا  أو لا حبذا " نحو : " نعم الرجل زيد " و " بئس القول الكذب " .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1-4-خالفة الصوت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47"/>
        <w:t>*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وهي الجمل التي تبدأ بأسماء الأصوات وهي نوعا يخاطب بها من لا يعقل نوع من الأصوات يخاطب بها من  لا يعقل من الحيوان أو يخاطب بها الطفل الصغير  نحو :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نَخْ" للبعير الذي يناخ و " سا " للحمار الذي يورد الماء و " كخ " لزجر الطفل عن تناول شيء ما 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48"/>
        <w:t>1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 xml:space="preserve">1-5- : الجملة الندائية : وهي الجملة التي تتضمن أسلوب النداء ، وهو طلب الإقبال من المخاطب بأداة من أدواته  وهي :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أيا و يا و هيا و أي " وكلها للبعيد إلا الهمزة فهي للقريب و " وا " فهي للندبة</w:t>
      </w:r>
      <w:r w:rsidRPr="00CF7AE8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customMarkFollows="1" w:id="49"/>
        <w:t>2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.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1- 6- جملة القسم : وهي الجملة المبدوءة بأسلوب من أساليب القسم ، و تتكون من أداة قسم والمُقسِم به ، نحو 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:" والله ، تالله ، بالله " أو تكون مبدوءة بكلمات هي نص في القسم نحو : " لعمرك أو أيمن الله " أو " أيمن الله لأفعلن "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1-7- الجملة الإغرائية  والتحذيرية : وهي الجمل الت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ي تكون متضمنة لسببي التحذير نحو</w:t>
      </w: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:rsidR="008430D0" w:rsidRPr="00CF7AE8" w:rsidRDefault="008430D0" w:rsidP="008430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F7AE8">
        <w:rPr>
          <w:rFonts w:ascii="Simplified Arabic" w:hAnsi="Simplified Arabic" w:cs="Simplified Arabic"/>
          <w:sz w:val="32"/>
          <w:szCs w:val="32"/>
          <w:rtl/>
          <w:lang w:bidi="ar-DZ"/>
        </w:rPr>
        <w:t>" إياك والشر " والتقدير فيها : " أحذر الشر "  أو الإغراء ، نحو : " أخاك أخاك " والتقدير  " إلزم أخاك " .</w:t>
      </w:r>
    </w:p>
    <w:p w:rsidR="008430D0" w:rsidRDefault="008430D0" w:rsidP="008430D0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112A48" w:rsidRDefault="00112A48" w:rsidP="008430D0">
      <w:pPr>
        <w:rPr>
          <w:lang w:bidi="ar-DZ"/>
        </w:rPr>
      </w:pPr>
    </w:p>
    <w:sectPr w:rsidR="00112A48" w:rsidSect="00112A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E24" w:rsidRDefault="00F12E24" w:rsidP="008430D0">
      <w:pPr>
        <w:spacing w:after="0" w:line="240" w:lineRule="auto"/>
      </w:pPr>
      <w:r>
        <w:separator/>
      </w:r>
    </w:p>
  </w:endnote>
  <w:endnote w:type="continuationSeparator" w:id="1">
    <w:p w:rsidR="00F12E24" w:rsidRDefault="00F12E24" w:rsidP="0084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E24" w:rsidRDefault="00F12E24" w:rsidP="008430D0">
      <w:pPr>
        <w:spacing w:after="0" w:line="240" w:lineRule="auto"/>
      </w:pPr>
      <w:r>
        <w:separator/>
      </w:r>
    </w:p>
  </w:footnote>
  <w:footnote w:type="continuationSeparator" w:id="1">
    <w:p w:rsidR="00F12E24" w:rsidRDefault="00F12E24" w:rsidP="008430D0">
      <w:pPr>
        <w:spacing w:after="0" w:line="240" w:lineRule="auto"/>
      </w:pPr>
      <w:r>
        <w:continuationSeparator/>
      </w:r>
    </w:p>
  </w:footnote>
  <w:footnote w:id="2">
    <w:p w:rsidR="008430D0" w:rsidRDefault="008430D0" w:rsidP="008430D0">
      <w:pPr>
        <w:pStyle w:val="Notedebasdepage"/>
        <w:rPr>
          <w:rtl/>
          <w:lang w:bidi="ar-DZ"/>
        </w:rPr>
      </w:pPr>
      <w:r>
        <w:rPr>
          <w:rStyle w:val="Appelnotedebasdep"/>
          <w:rFonts w:hint="cs"/>
          <w:rtl/>
        </w:rPr>
        <w:t>1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DZ"/>
        </w:rPr>
        <w:t>– الفيروز آبادي ، القاموس المحيط ، بيروت ، دار الكتب العلمية ، ص 481 .</w:t>
      </w:r>
    </w:p>
  </w:footnote>
  <w:footnote w:id="3">
    <w:p w:rsidR="008430D0" w:rsidRDefault="008430D0" w:rsidP="008430D0">
      <w:pPr>
        <w:pStyle w:val="Notedebasdepage"/>
        <w:rPr>
          <w:lang w:bidi="ar-DZ"/>
        </w:rPr>
      </w:pPr>
      <w:r w:rsidRPr="00A24A83">
        <w:rPr>
          <w:rStyle w:val="Appelnotedebasdep"/>
          <w:rFonts w:hint="cs"/>
          <w:rtl/>
        </w:rPr>
        <w:t>2</w:t>
      </w:r>
      <w:r>
        <w:rPr>
          <w:rFonts w:hint="cs"/>
          <w:rtl/>
          <w:lang w:bidi="ar-DZ"/>
        </w:rPr>
        <w:t xml:space="preserve"> – مرتضى الزبيدي ، تاج العروس ، تحقيق على شيري ، ط1</w:t>
      </w:r>
      <w:r>
        <w:rPr>
          <w:rFonts w:hint="cs"/>
          <w:sz w:val="24"/>
          <w:szCs w:val="24"/>
          <w:rtl/>
          <w:lang w:bidi="ar-DZ"/>
        </w:rPr>
        <w:t xml:space="preserve"> ،</w:t>
      </w:r>
      <w:r>
        <w:rPr>
          <w:rFonts w:hint="cs"/>
          <w:rtl/>
          <w:lang w:bidi="ar-DZ"/>
        </w:rPr>
        <w:t xml:space="preserve"> بيروت :1994 ،  دار الفكر ، ص 122 .</w:t>
      </w:r>
    </w:p>
  </w:footnote>
  <w:footnote w:id="4">
    <w:p w:rsidR="008430D0" w:rsidRDefault="008430D0" w:rsidP="008430D0">
      <w:pPr>
        <w:pStyle w:val="Notedebasdepage"/>
        <w:rPr>
          <w:lang w:bidi="ar-DZ"/>
        </w:rPr>
      </w:pPr>
      <w:r>
        <w:rPr>
          <w:rStyle w:val="Appelnotedebasdep"/>
          <w:rFonts w:hint="cs"/>
          <w:rtl/>
        </w:rPr>
        <w:t>3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DZ"/>
        </w:rPr>
        <w:t>– الراغب الأصفهاني ، مفردات ألفاظ القرآن الكريم ، تحقيق : صفوان داودي ، ط2 ، دمشق :1997  ، دار القلم ، ص 203.</w:t>
      </w:r>
    </w:p>
  </w:footnote>
  <w:footnote w:id="5">
    <w:p w:rsidR="008430D0" w:rsidRDefault="008430D0" w:rsidP="008430D0">
      <w:pPr>
        <w:pStyle w:val="Notedebasdepage"/>
        <w:rPr>
          <w:lang w:bidi="ar-DZ"/>
        </w:rPr>
      </w:pPr>
      <w:r>
        <w:rPr>
          <w:rStyle w:val="Appelnotedebasdep"/>
          <w:rFonts w:hint="cs"/>
          <w:rtl/>
        </w:rPr>
        <w:t>4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DZ"/>
        </w:rPr>
        <w:t>– عمر الثمانيني ، القواعد والفوائد ، تحقيق عبد الوهاب الكحلة ، ط ، بيروت : 2002  ، مؤسسة الرسالة ، ص 163 .</w:t>
      </w:r>
    </w:p>
  </w:footnote>
  <w:footnote w:id="6">
    <w:p w:rsidR="008430D0" w:rsidRDefault="008430D0" w:rsidP="008430D0">
      <w:pPr>
        <w:pStyle w:val="Notedebasdepage"/>
        <w:rPr>
          <w:lang w:bidi="ar-DZ"/>
        </w:rPr>
      </w:pPr>
      <w:r>
        <w:rPr>
          <w:rStyle w:val="Appelnotedebasdep"/>
          <w:rFonts w:hint="cs"/>
          <w:rtl/>
        </w:rPr>
        <w:t>5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DZ"/>
        </w:rPr>
        <w:t>– علي بن محـمد بن علي الحسين  الجرجاني  الحنفي ، التعريفات ، تحقيق :  نصر الدين تونسي، ط 1 ، القاهرة : 2007 ، شركة القدس للتصدير ، ص 193 .</w:t>
      </w:r>
    </w:p>
  </w:footnote>
  <w:footnote w:id="7">
    <w:p w:rsidR="008430D0" w:rsidRDefault="008430D0" w:rsidP="008430D0">
      <w:pPr>
        <w:pStyle w:val="Notedebasdepage"/>
        <w:rPr>
          <w:lang w:val="fr-FR"/>
        </w:rPr>
      </w:pPr>
      <w:r>
        <w:rPr>
          <w:rStyle w:val="Appelnotedebasdep"/>
          <w:rFonts w:hint="cs"/>
          <w:rtl/>
        </w:rPr>
        <w:t>1</w:t>
      </w:r>
      <w:r>
        <w:rPr>
          <w:rFonts w:hint="cs"/>
          <w:rtl/>
        </w:rPr>
        <w:t xml:space="preserve"> – أبو بشر عمرو بن عثمان بن قمبر </w:t>
      </w:r>
      <w:r>
        <w:rPr>
          <w:lang w:val="fr-FR"/>
        </w:rPr>
        <w:t xml:space="preserve">) </w:t>
      </w:r>
      <w:r>
        <w:rPr>
          <w:rFonts w:hint="cs"/>
          <w:rtl/>
          <w:lang w:val="fr-FR"/>
        </w:rPr>
        <w:t xml:space="preserve"> سيبويه </w:t>
      </w:r>
      <w:r>
        <w:rPr>
          <w:lang w:val="fr-FR"/>
        </w:rPr>
        <w:t>(</w:t>
      </w:r>
      <w:r>
        <w:rPr>
          <w:rFonts w:hint="cs"/>
          <w:rtl/>
          <w:lang w:val="fr-FR"/>
        </w:rPr>
        <w:t xml:space="preserve"> الكتاب ، تحقيق: عبد السلام محمد هارون ، ط1 ، مصر 1977 ،  دار الجيل ، ج 1 </w:t>
      </w:r>
    </w:p>
    <w:p w:rsidR="008430D0" w:rsidRDefault="008430D0" w:rsidP="008430D0">
      <w:pPr>
        <w:pStyle w:val="Notedebasdepage"/>
        <w:rPr>
          <w:rtl/>
          <w:lang w:val="fr-FR"/>
        </w:rPr>
      </w:pPr>
      <w:r>
        <w:rPr>
          <w:rFonts w:hint="cs"/>
          <w:rtl/>
          <w:lang w:val="fr-FR"/>
        </w:rPr>
        <w:t xml:space="preserve"> ص 23.</w:t>
      </w:r>
    </w:p>
  </w:footnote>
  <w:footnote w:id="8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2</w:t>
      </w:r>
      <w:r>
        <w:rPr>
          <w:rFonts w:hint="cs"/>
          <w:rtl/>
        </w:rPr>
        <w:t xml:space="preserve"> – المرجع نفسه ، ص 23 .</w:t>
      </w:r>
    </w:p>
  </w:footnote>
  <w:footnote w:id="9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3</w:t>
      </w:r>
      <w:r>
        <w:rPr>
          <w:rFonts w:hint="cs"/>
          <w:rtl/>
        </w:rPr>
        <w:t xml:space="preserve"> – ينظر محمـد نخلة ، مدخل إلى دراسة الجملة ، بيروت : 1988 ، دار النهضة ، ص 18 .</w:t>
      </w:r>
    </w:p>
  </w:footnote>
  <w:footnote w:id="10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tl/>
        </w:rPr>
        <w:t>1</w:t>
      </w:r>
      <w:r>
        <w:rPr>
          <w:rFonts w:hint="cs"/>
          <w:rtl/>
        </w:rPr>
        <w:t xml:space="preserve"> – أبو العباس المبرد ، المقتضب ، تحقيق : حمد حسن ، ط 1 ، بيروت : 1999 ، دار الكتب العلمية ، ص 55.</w:t>
      </w:r>
    </w:p>
  </w:footnote>
  <w:footnote w:id="11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2</w:t>
      </w:r>
      <w:r>
        <w:rPr>
          <w:rFonts w:hint="cs"/>
          <w:rtl/>
        </w:rPr>
        <w:t>– ع/محـمد حماسة عبد اللطيف ، العلامة الإعرابية ، القاهرة : 2001 ، دار غريب ، ص 19 .</w:t>
      </w:r>
    </w:p>
  </w:footnote>
  <w:footnote w:id="12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3</w:t>
      </w:r>
      <w:r>
        <w:rPr>
          <w:rFonts w:hint="cs"/>
          <w:rtl/>
        </w:rPr>
        <w:t xml:space="preserve">– ع/ محـمد خان الجملة والكلام ، مجلة العلوم الاجتماعية،  باتنة: 2002 ، العدد 6 ، ص 193 . </w:t>
      </w:r>
    </w:p>
  </w:footnote>
  <w:footnote w:id="13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tl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>– المرجع نفسه ، ص 193 .</w:t>
      </w:r>
    </w:p>
  </w:footnote>
  <w:footnote w:id="14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tl/>
        </w:rPr>
        <w:t>5</w:t>
      </w:r>
      <w:r>
        <w:rPr>
          <w:rtl/>
        </w:rPr>
        <w:t xml:space="preserve"> </w:t>
      </w:r>
      <w:r>
        <w:rPr>
          <w:rFonts w:hint="cs"/>
          <w:rtl/>
        </w:rPr>
        <w:t>– أبو الفتح عثمان بن جني ، الخصائص ، تحقيق : محمد علي النجار ، ط 1 ، بيروت : 2006 ، عالم الكتب ، ص 57 .</w:t>
      </w:r>
    </w:p>
  </w:footnote>
  <w:footnote w:id="15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1</w:t>
      </w:r>
      <w:r>
        <w:rPr>
          <w:rFonts w:hint="cs"/>
          <w:rtl/>
        </w:rPr>
        <w:t xml:space="preserve"> – ع /  محمـد حماسة عبد اللطيف ، العلامة الإعرابية ، ص 21 .</w:t>
      </w:r>
    </w:p>
  </w:footnote>
  <w:footnote w:id="16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2</w:t>
      </w:r>
      <w:r>
        <w:rPr>
          <w:rFonts w:hint="cs"/>
          <w:rtl/>
        </w:rPr>
        <w:t xml:space="preserve"> – ابو القاسم محمود بن عمر الزمخشري ، المفصل في علم اللغة ، ط 1 ، بيروت : 1990 ، دار إحياء العلوم ، ص 15 .</w:t>
      </w:r>
    </w:p>
  </w:footnote>
  <w:footnote w:id="17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3</w:t>
      </w:r>
      <w:r>
        <w:rPr>
          <w:rFonts w:hint="cs"/>
          <w:rtl/>
        </w:rPr>
        <w:t xml:space="preserve"> – ع/ محمـد الفيفي ، نحو الزمخشري ، ط 1 ، بيروت : 1986 ، المكتب الاسلامي ، ص 374. </w:t>
      </w:r>
    </w:p>
  </w:footnote>
  <w:footnote w:id="18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4</w:t>
      </w:r>
      <w:r>
        <w:rPr>
          <w:rFonts w:hint="cs"/>
          <w:rtl/>
        </w:rPr>
        <w:t xml:space="preserve"> – موفق الدين أبي البقاء يعيش بن علي بن يعيش الموصلي ، شرح المفصل للزمخشري ، تحقيق : إميل يعقوب ، ط 1 ، بيروت 2001 ، دار الكتب العلمية ، ج1 ، ص 72 .</w:t>
      </w:r>
    </w:p>
  </w:footnote>
  <w:footnote w:id="19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1</w:t>
      </w:r>
      <w:r>
        <w:rPr>
          <w:rFonts w:hint="cs"/>
          <w:rtl/>
        </w:rPr>
        <w:t xml:space="preserve"> –ع/  أيوب القيسي ، الاختيارات النحوية ، الإسكندرية ، دار الإيمان ، ص 49 .</w:t>
      </w:r>
    </w:p>
  </w:footnote>
  <w:footnote w:id="20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2</w:t>
      </w:r>
      <w:r>
        <w:rPr>
          <w:rFonts w:hint="cs"/>
          <w:rtl/>
        </w:rPr>
        <w:t xml:space="preserve"> – الرضي أستر أباذي ، شرح الكافية ، تحقيق : إميل لحود ، ط 1 ، بيروت : 1998 ، دار الكتب العلمية ، ص 13 .</w:t>
      </w:r>
    </w:p>
  </w:footnote>
  <w:footnote w:id="21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3</w:t>
      </w:r>
      <w:r>
        <w:rPr>
          <w:rFonts w:hint="cs"/>
          <w:rtl/>
        </w:rPr>
        <w:t xml:space="preserve"> –  جمال الدين عبد الله بن يوسف بن عبد الله بن هشام  الأنصاري ، المغني اللبيب عن كتب الأعاريب ، تحقيق: عبد السلام هارون ، ط1 بيروت  :1991 ، دار الجيل ، ص 5 .</w:t>
      </w:r>
    </w:p>
  </w:footnote>
  <w:footnote w:id="22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1</w:t>
      </w:r>
      <w:r>
        <w:rPr>
          <w:rFonts w:hint="cs"/>
          <w:rtl/>
        </w:rPr>
        <w:t>– ابن هشام ، المغني ، تحقيق : علي السيد ، ط 1 ، القاهرة : 2004 ، دار السلام  ، ج 1 ، ص 505 .</w:t>
      </w:r>
    </w:p>
  </w:footnote>
  <w:footnote w:id="23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2</w:t>
      </w:r>
      <w:r>
        <w:rPr>
          <w:rFonts w:hint="cs"/>
          <w:rtl/>
        </w:rPr>
        <w:t>– علي بن محـمد بن علي الحسين الجرجاني الحنفي ، التعريفات ، تحقيق : نصر الدين تونسي ، ط 1 ، القاهرة : 2007 ، شركة القدس للتصدير ، ص 193 .</w:t>
      </w:r>
    </w:p>
  </w:footnote>
  <w:footnote w:id="24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3</w:t>
      </w:r>
      <w:r>
        <w:rPr>
          <w:rFonts w:hint="cs"/>
          <w:rtl/>
        </w:rPr>
        <w:t xml:space="preserve"> – جلال الدين بن عبد الرحمان بن أبي بكر السيوطي ، همع الهوامع وجمع الجوامع ، تحقيق : عبد السلام هارون وسالم المكرم ، بيروت  دار البحوث العلمية ، ص 36 .</w:t>
      </w:r>
    </w:p>
  </w:footnote>
  <w:footnote w:id="25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1</w:t>
      </w:r>
      <w:r>
        <w:rPr>
          <w:rFonts w:hint="cs"/>
          <w:rtl/>
        </w:rPr>
        <w:t xml:space="preserve"> – أحمد الهاشمي ، القواعد الأساسية ، ط 1 ، بيروت : 2004 ، دار الرسالة ، ص 255.</w:t>
      </w:r>
    </w:p>
  </w:footnote>
  <w:footnote w:id="26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2</w:t>
      </w:r>
      <w:r>
        <w:rPr>
          <w:rFonts w:hint="cs"/>
          <w:rtl/>
        </w:rPr>
        <w:t xml:space="preserve"> – مصطفي الغلاييني ، جامع الدروس العربية ، تحقيق : سالم شمس الدين ، ط1 ، بيروت : 2005 ، المكتبة العصرية ، ج3 ، ص 604 .</w:t>
      </w:r>
    </w:p>
  </w:footnote>
  <w:footnote w:id="27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3</w:t>
      </w:r>
      <w:r>
        <w:rPr>
          <w:rFonts w:hint="cs"/>
          <w:rtl/>
        </w:rPr>
        <w:t xml:space="preserve"> – أسعد النادري ، نحو اللغة العربية ، ط3 ، بيروت : 2002 ، المكتبة العصرية ، ص 671 .</w:t>
      </w:r>
    </w:p>
  </w:footnote>
  <w:footnote w:id="28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4</w:t>
      </w:r>
      <w:r>
        <w:rPr>
          <w:rFonts w:hint="cs"/>
          <w:rtl/>
        </w:rPr>
        <w:t>– عزيزة فؤال ، المعجم المفصل في النحو ، ط 1، بيروت : 1992 ، دار الكتب العلمية ، ص 419 .</w:t>
      </w:r>
    </w:p>
  </w:footnote>
  <w:footnote w:id="29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5</w:t>
      </w:r>
      <w:r>
        <w:rPr>
          <w:rFonts w:hint="cs"/>
          <w:rtl/>
        </w:rPr>
        <w:t>– عباس حسن ، النحو الوافي ، ط 3 ، مصر : 2003 ، دار المعارف ، ص 15 .</w:t>
      </w:r>
    </w:p>
  </w:footnote>
  <w:footnote w:id="30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1</w:t>
      </w:r>
      <w:r>
        <w:rPr>
          <w:rFonts w:hint="cs"/>
          <w:rtl/>
        </w:rPr>
        <w:t>– ع / محمـد حماسة عبد الطيف ، العلامة الإعرابية ، ص 53 .</w:t>
      </w:r>
    </w:p>
  </w:footnote>
  <w:footnote w:id="31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2</w:t>
      </w:r>
      <w:r>
        <w:rPr>
          <w:rFonts w:hint="cs"/>
          <w:rtl/>
        </w:rPr>
        <w:t xml:space="preserve"> – ع/ محمود نحلة مدخل إلى دراسة الجملة ، ص 92 .</w:t>
      </w:r>
    </w:p>
  </w:footnote>
  <w:footnote w:id="32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3</w:t>
      </w:r>
      <w:r>
        <w:rPr>
          <w:rFonts w:hint="cs"/>
          <w:rtl/>
        </w:rPr>
        <w:t xml:space="preserve"> – المرجع نفسه ، ص 21 .</w:t>
      </w:r>
    </w:p>
  </w:footnote>
  <w:footnote w:id="33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4</w:t>
      </w:r>
      <w:r>
        <w:rPr>
          <w:rFonts w:hint="cs"/>
          <w:rtl/>
        </w:rPr>
        <w:t xml:space="preserve"> – محـمد حماسة عبد الطيف ، العلامة الإعرابية ، ص 57 .</w:t>
      </w:r>
    </w:p>
  </w:footnote>
  <w:footnote w:id="34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5</w:t>
      </w:r>
      <w:r>
        <w:rPr>
          <w:rFonts w:hint="cs"/>
          <w:rtl/>
        </w:rPr>
        <w:t xml:space="preserve"> – محمود نحلة ، مدخل إلى دراسة الجملة ، ص 12 .</w:t>
      </w:r>
    </w:p>
  </w:footnote>
  <w:footnote w:id="35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1</w:t>
      </w:r>
      <w:r>
        <w:rPr>
          <w:rFonts w:hint="cs"/>
          <w:rtl/>
        </w:rPr>
        <w:t xml:space="preserve"> – ع/ محمـد حماسة عبد الطيف ، العلامة الإعرابية ، ص</w:t>
      </w:r>
      <w:r>
        <w:t>)</w:t>
      </w:r>
      <w:r>
        <w:rPr>
          <w:rFonts w:hint="cs"/>
          <w:rtl/>
        </w:rPr>
        <w:t xml:space="preserve"> 43-44</w:t>
      </w:r>
      <w:r>
        <w:rPr>
          <w:lang w:val="fr-FR"/>
        </w:rPr>
        <w:t>(</w:t>
      </w:r>
      <w:r>
        <w:rPr>
          <w:rFonts w:hint="cs"/>
          <w:rtl/>
        </w:rPr>
        <w:t xml:space="preserve">. </w:t>
      </w:r>
    </w:p>
  </w:footnote>
  <w:footnote w:id="36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2</w:t>
      </w:r>
      <w:r>
        <w:rPr>
          <w:rFonts w:hint="cs"/>
          <w:rtl/>
        </w:rPr>
        <w:t xml:space="preserve"> – سيبويه ، الكتاب ، ج 1 ، ص 23.</w:t>
      </w:r>
    </w:p>
  </w:footnote>
  <w:footnote w:id="37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3</w:t>
      </w:r>
      <w:r>
        <w:rPr>
          <w:rFonts w:hint="cs"/>
          <w:rtl/>
        </w:rPr>
        <w:t xml:space="preserve"> – ابن السراج ، الأصول ، تحقيق : عبد الحسين الفتلي ، ط 4 ، بيروت : 1999 ، مؤسسة الرسالة ، ص 64 .</w:t>
      </w:r>
    </w:p>
  </w:footnote>
  <w:footnote w:id="38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1</w:t>
      </w:r>
      <w:r>
        <w:rPr>
          <w:rFonts w:hint="cs"/>
          <w:rtl/>
        </w:rPr>
        <w:t xml:space="preserve"> – الزمخشري ، المفصل ، ص 44 .</w:t>
      </w:r>
    </w:p>
  </w:footnote>
  <w:footnote w:id="39">
    <w:p w:rsidR="008430D0" w:rsidRDefault="008430D0" w:rsidP="008430D0">
      <w:pPr>
        <w:pStyle w:val="Notedebasdepage"/>
        <w:rPr>
          <w:rtl/>
          <w:lang w:val="fr-FR"/>
        </w:rPr>
      </w:pPr>
      <w:r>
        <w:rPr>
          <w:rStyle w:val="Appelnotedebasdep"/>
          <w:rFonts w:hint="cs"/>
          <w:rtl/>
        </w:rPr>
        <w:t>*</w:t>
      </w:r>
      <w:r>
        <w:rPr>
          <w:rFonts w:hint="cs"/>
          <w:rtl/>
        </w:rPr>
        <w:t xml:space="preserve"> - أبو علي الفارسي </w:t>
      </w:r>
      <w:r>
        <w:rPr>
          <w:lang w:val="fr-FR"/>
        </w:rPr>
        <w:t>)</w:t>
      </w:r>
      <w:r>
        <w:rPr>
          <w:rFonts w:hint="cs"/>
          <w:rtl/>
          <w:lang w:val="fr-FR"/>
        </w:rPr>
        <w:t xml:space="preserve"> 377 هـ </w:t>
      </w:r>
      <w:r>
        <w:rPr>
          <w:lang w:val="fr-FR"/>
        </w:rPr>
        <w:t>(</w:t>
      </w:r>
      <w:r>
        <w:rPr>
          <w:rFonts w:hint="cs"/>
          <w:rtl/>
          <w:lang w:val="fr-FR"/>
        </w:rPr>
        <w:t xml:space="preserve"> .</w:t>
      </w:r>
    </w:p>
  </w:footnote>
  <w:footnote w:id="40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2</w:t>
      </w:r>
      <w:r>
        <w:rPr>
          <w:rFonts w:hint="cs"/>
          <w:rtl/>
        </w:rPr>
        <w:t xml:space="preserve"> – إبن يعيش ، شر ح المفصل ، ج 1 ، ص 299 .</w:t>
      </w:r>
    </w:p>
  </w:footnote>
  <w:footnote w:id="41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1</w:t>
      </w:r>
      <w:r>
        <w:rPr>
          <w:rFonts w:hint="cs"/>
          <w:rtl/>
        </w:rPr>
        <w:t xml:space="preserve"> – ع/ محمـد حماسة عبد الطيف ، العلامة الإعرابية ، ص 71 .</w:t>
      </w:r>
    </w:p>
  </w:footnote>
  <w:footnote w:id="42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1</w:t>
      </w:r>
      <w:r>
        <w:rPr>
          <w:rFonts w:hint="cs"/>
          <w:rtl/>
        </w:rPr>
        <w:t xml:space="preserve">– ينظر: تمام حسان ، اللغة العربية معناها ومبناها ، ط 2 ، مصر : 1979 ، الهيئة المصرية العامة للكتاب ، باب النظام الصرفي ،ص 71 . </w:t>
      </w:r>
    </w:p>
  </w:footnote>
  <w:footnote w:id="43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2</w:t>
      </w:r>
      <w:r>
        <w:rPr>
          <w:rFonts w:hint="cs"/>
          <w:rtl/>
        </w:rPr>
        <w:t xml:space="preserve"> – ينظر: المرجع نفسه ، ص 123 . </w:t>
      </w:r>
    </w:p>
  </w:footnote>
  <w:footnote w:id="44">
    <w:p w:rsidR="008430D0" w:rsidRDefault="008430D0" w:rsidP="008430D0">
      <w:pPr>
        <w:pStyle w:val="Notedebasdepage"/>
        <w:rPr>
          <w:rtl/>
          <w:lang w:val="fr-FR"/>
        </w:rPr>
      </w:pPr>
      <w:r>
        <w:rPr>
          <w:rStyle w:val="Appelnotedebasdep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 – ينظر: محمـد حماسة عبد الطيف ، العلامة الإعرابية ، ص</w:t>
      </w:r>
      <w:r>
        <w:rPr>
          <w:lang w:val="fr-FR"/>
        </w:rPr>
        <w:t>)</w:t>
      </w:r>
      <w:r>
        <w:rPr>
          <w:rFonts w:hint="cs"/>
          <w:rtl/>
        </w:rPr>
        <w:t xml:space="preserve">  78- 79 </w:t>
      </w:r>
      <w:r>
        <w:rPr>
          <w:sz w:val="28"/>
          <w:szCs w:val="28"/>
          <w:lang w:val="fr-FR"/>
        </w:rPr>
        <w:t>(</w:t>
      </w:r>
      <w:r>
        <w:rPr>
          <w:rFonts w:hint="cs"/>
          <w:sz w:val="28"/>
          <w:szCs w:val="28"/>
          <w:rtl/>
          <w:lang w:val="fr-FR"/>
        </w:rPr>
        <w:t>.</w:t>
      </w:r>
    </w:p>
  </w:footnote>
  <w:footnote w:id="45">
    <w:p w:rsidR="008430D0" w:rsidRDefault="008430D0" w:rsidP="008430D0">
      <w:pPr>
        <w:pStyle w:val="Notedebasdepage"/>
        <w:rPr>
          <w:rtl/>
          <w:lang w:bidi="ar-DZ"/>
        </w:rPr>
      </w:pPr>
      <w:r>
        <w:rPr>
          <w:rStyle w:val="Appelnotedebasdep"/>
          <w:rtl/>
        </w:rPr>
        <w:t>2</w:t>
      </w:r>
      <w:r>
        <w:rPr>
          <w:rtl/>
        </w:rPr>
        <w:t xml:space="preserve">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ينظر: المرجع السابق ، ص ( 78 -79 ) .</w:t>
      </w:r>
    </w:p>
  </w:footnote>
  <w:footnote w:id="46">
    <w:p w:rsidR="008430D0" w:rsidRDefault="008430D0" w:rsidP="008430D0">
      <w:pPr>
        <w:pStyle w:val="Notedebasdepage"/>
        <w:rPr>
          <w:lang w:val="fr-FR" w:bidi="ar-DZ"/>
        </w:rPr>
      </w:pPr>
      <w:r>
        <w:rPr>
          <w:rStyle w:val="Appelnotedebasdep"/>
          <w:rtl/>
        </w:rPr>
        <w:t>1</w:t>
      </w:r>
      <w:r>
        <w:rPr>
          <w:rFonts w:hint="cs"/>
          <w:rtl/>
        </w:rPr>
        <w:t xml:space="preserve">– محـمد حماسة عبد الطيف ، العلامة الإعرابية ، ص </w:t>
      </w:r>
      <w:r>
        <w:rPr>
          <w:rFonts w:hint="cs"/>
          <w:rtl/>
          <w:lang w:val="fr-FR" w:bidi="ar-DZ"/>
        </w:rPr>
        <w:t>95 .</w:t>
      </w:r>
    </w:p>
  </w:footnote>
  <w:footnote w:id="47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*</w:t>
      </w:r>
      <w:r>
        <w:rPr>
          <w:rFonts w:hint="cs"/>
          <w:rtl/>
        </w:rPr>
        <w:t xml:space="preserve"> محـمد حماسة عبد اللطيف ، العلامة الإعرابية  ، ص : 102 .</w:t>
      </w:r>
    </w:p>
  </w:footnote>
  <w:footnote w:id="48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1</w:t>
      </w:r>
      <w:r>
        <w:rPr>
          <w:rFonts w:hint="cs"/>
          <w:rtl/>
        </w:rPr>
        <w:t xml:space="preserve"> – ينظر: الغلاييني ، جامع الدروس العربية ، ج 1 ، ص : 119 .</w:t>
      </w:r>
    </w:p>
  </w:footnote>
  <w:footnote w:id="49">
    <w:p w:rsidR="008430D0" w:rsidRDefault="008430D0" w:rsidP="008430D0">
      <w:pPr>
        <w:pStyle w:val="Notedebasdepage"/>
        <w:rPr>
          <w:rtl/>
        </w:rPr>
      </w:pPr>
      <w:r>
        <w:rPr>
          <w:rStyle w:val="Appelnotedebasdep"/>
          <w:rFonts w:hint="cs"/>
          <w:rtl/>
        </w:rPr>
        <w:t>2</w:t>
      </w:r>
      <w:r>
        <w:rPr>
          <w:rFonts w:hint="cs"/>
          <w:rtl/>
        </w:rPr>
        <w:t xml:space="preserve"> – ينظر: عبد الغني الدقر ، معجم النحو،بيروت  ، مؤسسة الرسالة ، ص : 392 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0D0"/>
    <w:rsid w:val="00112A48"/>
    <w:rsid w:val="008430D0"/>
    <w:rsid w:val="00F1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D0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843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430D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unhideWhenUsed/>
    <w:rsid w:val="008430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3267</Words>
  <Characters>17970</Characters>
  <Application>Microsoft Office Word</Application>
  <DocSecurity>0</DocSecurity>
  <Lines>149</Lines>
  <Paragraphs>42</Paragraphs>
  <ScaleCrop>false</ScaleCrop>
  <Company>Msila</Company>
  <LinksUpToDate>false</LinksUpToDate>
  <CharactersWithSpaces>21195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Faculte LL</dc:creator>
  <cp:keywords/>
  <dc:description/>
  <cp:lastModifiedBy>Faculte LL</cp:lastModifiedBy>
  <cp:revision>1</cp:revision>
  <dcterms:created xsi:type="dcterms:W3CDTF">2018-01-08T08:12:00Z</dcterms:created>
  <dcterms:modified xsi:type="dcterms:W3CDTF">2018-01-08T08:13:00Z</dcterms:modified>
</cp:coreProperties>
</file>