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8A" w:rsidRDefault="00EA278A" w:rsidP="00EA278A">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الثانية: عناصر الجملة</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تتضمن الجملة الأجزاء </w:t>
      </w:r>
      <w:r>
        <w:rPr>
          <w:rFonts w:ascii="Simplified Arabic" w:hAnsi="Simplified Arabic" w:cs="Simplified Arabic" w:hint="cs"/>
          <w:sz w:val="32"/>
          <w:szCs w:val="32"/>
          <w:rtl/>
          <w:lang w:bidi="ar-DZ"/>
        </w:rPr>
        <w:t>الآتية</w:t>
      </w:r>
      <w:r w:rsidRPr="00CF7AE8">
        <w:rPr>
          <w:rFonts w:ascii="Simplified Arabic" w:hAnsi="Simplified Arabic" w:cs="Simplified Arabic"/>
          <w:sz w:val="32"/>
          <w:szCs w:val="32"/>
          <w:rtl/>
          <w:lang w:bidi="ar-DZ"/>
        </w:rPr>
        <w:t xml:space="preserve">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1-المسند إليه: </w:t>
      </w:r>
      <w:r w:rsidRPr="00CF7AE8">
        <w:rPr>
          <w:rFonts w:ascii="Simplified Arabic" w:hAnsi="Simplified Arabic" w:cs="Simplified Arabic"/>
          <w:sz w:val="32"/>
          <w:szCs w:val="32"/>
          <w:rtl/>
          <w:lang w:bidi="ar-DZ"/>
        </w:rPr>
        <w:t>هو  ما لا يستغنى عن المسند « ولا يجد المتكلم منه بد»</w:t>
      </w:r>
      <w:r>
        <w:rPr>
          <w:rStyle w:val="Appelnotedebasdep"/>
          <w:rFonts w:ascii="Simplified Arabic" w:hAnsi="Simplified Arabic" w:cs="Simplified Arabic"/>
          <w:sz w:val="32"/>
          <w:szCs w:val="32"/>
          <w:rtl/>
          <w:lang w:bidi="ar-DZ"/>
        </w:rPr>
        <w:footnoteReference w:customMarkFollows="1" w:id="2"/>
        <w:t>1</w:t>
      </w:r>
      <w:r w:rsidRPr="00CF7AE8">
        <w:rPr>
          <w:rFonts w:ascii="Simplified Arabic" w:hAnsi="Simplified Arabic" w:cs="Simplified Arabic"/>
          <w:sz w:val="32"/>
          <w:szCs w:val="32"/>
          <w:rtl/>
          <w:lang w:bidi="ar-DZ"/>
        </w:rPr>
        <w:t xml:space="preserve"> وهو الجزء المحكوم عليه كالفاعل ونائب الفاعل في الجملة  الفعلية، والمبتدأ من الجملة الاسمية، ولا يكون إلا اسما.</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1-1-اسم ذات، نحو: حضر الأستاذ، فـ (الأستاذ) اسم ذات وهو مسند إليه.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1-2-اسم معنى، نحو: انتشر الظلم على البسيطة، فـ (الظلم) اسم معنى وهو مسند إليه.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2-المسند</w:t>
      </w:r>
      <w:r w:rsidRPr="00CF7AE8">
        <w:rPr>
          <w:rFonts w:ascii="Simplified Arabic" w:hAnsi="Simplified Arabic" w:cs="Simplified Arabic"/>
          <w:sz w:val="32"/>
          <w:szCs w:val="32"/>
          <w:rtl/>
          <w:lang w:bidi="ar-DZ"/>
        </w:rPr>
        <w:t xml:space="preserve">: وهو اللفظ الذي لا يستغنى عن المسند إليه، « ولا يجد المتكلم منه بدا » </w:t>
      </w:r>
      <w:r>
        <w:rPr>
          <w:rStyle w:val="Appelnotedebasdep"/>
          <w:rFonts w:ascii="Simplified Arabic" w:hAnsi="Simplified Arabic" w:cs="Simplified Arabic"/>
          <w:sz w:val="32"/>
          <w:szCs w:val="32"/>
          <w:rtl/>
          <w:lang w:bidi="ar-DZ"/>
        </w:rPr>
        <w:footnoteReference w:customMarkFollows="1" w:id="3"/>
        <w:t>2</w:t>
      </w:r>
      <w:r w:rsidRPr="00CF7AE8">
        <w:rPr>
          <w:rFonts w:ascii="Simplified Arabic" w:hAnsi="Simplified Arabic" w:cs="Simplified Arabic"/>
          <w:sz w:val="32"/>
          <w:szCs w:val="32"/>
          <w:rtl/>
          <w:lang w:bidi="ar-DZ"/>
        </w:rPr>
        <w:t xml:space="preserve"> وهو الحكم المراد إسناده إلى المحكوم عليه، فهو في الجملة الفعلية الفعل، وفي الجملة الاسمية الخبر  وقد يكون المسند ما في قوة الفعل  كاسم الفاعل  والمصدر والصفة المشبهة، واسم التفضيل وأسماء المبالغة، وأسماء الأفعال و « ما قام على الاستعارة والتشبيه ، نحو : " أكرم رجلا مسكا خلقه " أو" قابلت رجلا أسدا ولدُهُ " فكلمتا (مسكا) و ( أسدا) شبهتا الفعل في تحملهما المرفوع لأنهما في قوة الفعل » </w:t>
      </w:r>
      <w:r>
        <w:rPr>
          <w:rStyle w:val="Appelnotedebasdep"/>
          <w:rFonts w:ascii="Simplified Arabic" w:hAnsi="Simplified Arabic" w:cs="Simplified Arabic"/>
          <w:sz w:val="32"/>
          <w:szCs w:val="32"/>
          <w:rtl/>
          <w:lang w:bidi="ar-DZ"/>
        </w:rPr>
        <w:footnoteReference w:customMarkFollows="1" w:id="4"/>
        <w:t>3</w:t>
      </w:r>
      <w:r w:rsidRPr="00CF7AE8">
        <w:rPr>
          <w:rFonts w:ascii="Simplified Arabic" w:hAnsi="Simplified Arabic" w:cs="Simplified Arabic"/>
          <w:sz w:val="32"/>
          <w:szCs w:val="32"/>
          <w:rtl/>
          <w:lang w:bidi="ar-DZ"/>
        </w:rPr>
        <w:t xml:space="preserve">. أي يشبهان الفعل فرفعتا كلمــــتي " خلقه"و" ولده " على الترتيب .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3- الإسناد:</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lastRenderedPageBreak/>
        <w:t>مفهوم الإسناد لغة</w:t>
      </w:r>
      <w:r w:rsidRPr="00CF7AE8">
        <w:rPr>
          <w:rFonts w:ascii="Simplified Arabic" w:hAnsi="Simplified Arabic" w:cs="Simplified Arabic"/>
          <w:sz w:val="32"/>
          <w:szCs w:val="32"/>
          <w:rtl/>
          <w:lang w:bidi="ar-DZ"/>
        </w:rPr>
        <w:t xml:space="preserve">: تعود كلمة (الإسناد) في معناها اللغوي إلى مادة (سند) حيث يقوم ابن فارس (ت 395 هـ) في مادة (س، ن ، د): « سند: السين، والنون والدال أصل واحد يدل على انضمام الشيء إلى الشيء، يقال سندت على الشيء أسند سنودا وأستندت إستنادا، وأسندت غيري إسنادا » </w:t>
      </w:r>
      <w:r>
        <w:rPr>
          <w:rStyle w:val="Appelnotedebasdep"/>
          <w:rFonts w:ascii="Simplified Arabic" w:hAnsi="Simplified Arabic" w:cs="Simplified Arabic"/>
          <w:sz w:val="32"/>
          <w:szCs w:val="32"/>
          <w:rtl/>
          <w:lang w:bidi="ar-DZ"/>
        </w:rPr>
        <w:footnoteReference w:customMarkFollows="1" w:id="5"/>
        <w:t>1</w:t>
      </w:r>
      <w:r w:rsidRPr="00CF7AE8">
        <w:rPr>
          <w:rFonts w:ascii="Simplified Arabic" w:hAnsi="Simplified Arabic" w:cs="Simplified Arabic"/>
          <w:sz w:val="32"/>
          <w:szCs w:val="32"/>
          <w:rtl/>
          <w:lang w:bidi="ar-DZ"/>
        </w:rPr>
        <w:t xml:space="preserve"> وبذلك يكون الإسناد هو الاقتراب والتلاحم بين شيئين يحتاج أحدهما لوجود الآخر حتى يعتمد عليه.</w:t>
      </w:r>
    </w:p>
    <w:p w:rsidR="00EA278A" w:rsidRPr="00CF7AE8" w:rsidRDefault="00EA278A" w:rsidP="00EA278A">
      <w:pPr>
        <w:jc w:val="lowKashida"/>
        <w:rPr>
          <w:rFonts w:ascii="Simplified Arabic" w:hAnsi="Simplified Arabic" w:cs="Simplified Arabic"/>
          <w:sz w:val="32"/>
          <w:szCs w:val="32"/>
          <w:lang w:bidi="ar-DZ"/>
        </w:rPr>
      </w:pPr>
      <w:r w:rsidRPr="00CF7AE8">
        <w:rPr>
          <w:rFonts w:ascii="Simplified Arabic" w:hAnsi="Simplified Arabic" w:cs="Simplified Arabic"/>
          <w:sz w:val="32"/>
          <w:szCs w:val="32"/>
          <w:rtl/>
          <w:lang w:bidi="ar-DZ"/>
        </w:rPr>
        <w:t xml:space="preserve">   وقال الزمخشري (ت 538هـ) : « تساند إلى الحائط وسوند المريض، وقــال: ساندوني ... ومن المجاز أسندت إليه أمري »</w:t>
      </w:r>
      <w:r>
        <w:rPr>
          <w:rStyle w:val="Appelnotedebasdep"/>
          <w:rFonts w:ascii="Simplified Arabic" w:hAnsi="Simplified Arabic" w:cs="Simplified Arabic"/>
          <w:sz w:val="32"/>
          <w:szCs w:val="32"/>
          <w:rtl/>
          <w:lang w:bidi="ar-DZ"/>
        </w:rPr>
        <w:footnoteReference w:customMarkFollows="1" w:id="6"/>
        <w:t>2</w:t>
      </w:r>
      <w:r w:rsidRPr="00CF7AE8">
        <w:rPr>
          <w:rFonts w:ascii="Simplified Arabic" w:hAnsi="Simplified Arabic" w:cs="Simplified Arabic"/>
          <w:sz w:val="32"/>
          <w:szCs w:val="32"/>
          <w:rtl/>
          <w:lang w:bidi="ar-DZ"/>
        </w:rPr>
        <w:t xml:space="preserve"> ، وفيه قوة المسند واعتماد المسند إليه عليه فطلب المريض للسند ينم عن ضعفه وحاجته إلى ما يستند عليه لمعونته والتخفيف من معاناته. </w:t>
      </w:r>
    </w:p>
    <w:p w:rsidR="00EA278A" w:rsidRPr="00CF7AE8" w:rsidRDefault="00EA278A" w:rsidP="00EA278A">
      <w:pPr>
        <w:jc w:val="lowKashida"/>
        <w:rPr>
          <w:rFonts w:ascii="Simplified Arabic" w:hAnsi="Simplified Arabic" w:cs="Simplified Arabic"/>
          <w:sz w:val="32"/>
          <w:szCs w:val="32"/>
          <w:rtl/>
          <w:lang w:val="fr-FR" w:bidi="ar-DZ"/>
        </w:rPr>
      </w:pPr>
      <w:r w:rsidRPr="00CF7AE8">
        <w:rPr>
          <w:rFonts w:ascii="Simplified Arabic" w:hAnsi="Simplified Arabic" w:cs="Simplified Arabic"/>
          <w:sz w:val="32"/>
          <w:szCs w:val="32"/>
          <w:rtl/>
          <w:lang w:bidi="ar-DZ"/>
        </w:rPr>
        <w:t xml:space="preserve">أما ابن منظور </w:t>
      </w:r>
      <w:r w:rsidRPr="00CF7AE8">
        <w:rPr>
          <w:rFonts w:ascii="Simplified Arabic" w:hAnsi="Simplified Arabic" w:cs="Simplified Arabic"/>
          <w:sz w:val="32"/>
          <w:szCs w:val="32"/>
          <w:lang w:val="fr-FR" w:bidi="ar-DZ"/>
        </w:rPr>
        <w:t>)</w:t>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rPr>
        <w:t xml:space="preserve">711 هـ </w:t>
      </w:r>
      <w:r w:rsidRPr="00CF7AE8">
        <w:rPr>
          <w:rFonts w:ascii="Simplified Arabic" w:hAnsi="Simplified Arabic" w:cs="Simplified Arabic"/>
          <w:sz w:val="32"/>
          <w:szCs w:val="32"/>
          <w:lang w:val="fr-FR"/>
        </w:rPr>
        <w:t>(</w:t>
      </w:r>
      <w:r w:rsidRPr="00CF7AE8">
        <w:rPr>
          <w:rFonts w:ascii="Simplified Arabic" w:hAnsi="Simplified Arabic" w:cs="Simplified Arabic"/>
          <w:sz w:val="32"/>
          <w:szCs w:val="32"/>
          <w:rtl/>
          <w:lang w:val="fr-FR"/>
        </w:rPr>
        <w:t xml:space="preserve"> فيقول </w:t>
      </w:r>
      <w:r w:rsidRPr="00CF7AE8">
        <w:rPr>
          <w:rFonts w:ascii="Simplified Arabic" w:hAnsi="Simplified Arabic" w:cs="Simplified Arabic"/>
          <w:sz w:val="32"/>
          <w:szCs w:val="32"/>
          <w:rtl/>
          <w:lang w:bidi="ar-DZ"/>
        </w:rPr>
        <w:t>: «</w:t>
      </w:r>
      <w:r w:rsidRPr="00CF7AE8">
        <w:rPr>
          <w:rFonts w:ascii="Simplified Arabic" w:hAnsi="Simplified Arabic" w:cs="Simplified Arabic"/>
          <w:sz w:val="32"/>
          <w:szCs w:val="32"/>
          <w:rtl/>
          <w:lang w:val="fr-FR" w:bidi="ar-DZ"/>
        </w:rPr>
        <w:t xml:space="preserve"> كل شيء أسندت إليه شيئا فهو مسند... وساندة الرجل مساندة إذا عاضدته </w:t>
      </w:r>
      <w:r w:rsidRPr="00CF7AE8">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rtl/>
          <w:lang w:val="fr-FR" w:bidi="ar-DZ"/>
        </w:rPr>
        <w:footnoteReference w:customMarkFollows="1" w:id="7"/>
        <w:t>3</w:t>
      </w:r>
      <w:r w:rsidRPr="00CF7AE8">
        <w:rPr>
          <w:rFonts w:ascii="Simplified Arabic" w:hAnsi="Simplified Arabic" w:cs="Simplified Arabic"/>
          <w:sz w:val="32"/>
          <w:szCs w:val="32"/>
          <w:rtl/>
          <w:lang w:val="fr-FR" w:bidi="ar-DZ"/>
        </w:rPr>
        <w:t xml:space="preserve"> . فالمساندة حينئذ هي ا</w:t>
      </w:r>
      <w:r>
        <w:rPr>
          <w:rFonts w:ascii="Simplified Arabic" w:hAnsi="Simplified Arabic" w:cs="Simplified Arabic"/>
          <w:sz w:val="32"/>
          <w:szCs w:val="32"/>
          <w:rtl/>
          <w:lang w:val="fr-FR" w:bidi="ar-DZ"/>
        </w:rPr>
        <w:t>لتأليف بين شيئين لتحقيق شيء آخر</w:t>
      </w:r>
      <w:r w:rsidRPr="00CF7AE8">
        <w:rPr>
          <w:rFonts w:ascii="Simplified Arabic" w:hAnsi="Simplified Arabic" w:cs="Simplified Arabic"/>
          <w:sz w:val="32"/>
          <w:szCs w:val="32"/>
          <w:rtl/>
          <w:lang w:val="fr-FR" w:bidi="ar-DZ"/>
        </w:rPr>
        <w:t>.</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أما صاحب القاموس المحيط الفيروزآبادي (ت 817هـ) فيقول: « السند معتمد الإسناد والمسند من الحديث ما أسند إلى قائله»</w:t>
      </w:r>
      <w:r>
        <w:rPr>
          <w:rStyle w:val="Appelnotedebasdep"/>
          <w:rFonts w:ascii="Simplified Arabic" w:hAnsi="Simplified Arabic" w:cs="Simplified Arabic"/>
          <w:sz w:val="32"/>
          <w:szCs w:val="32"/>
          <w:rtl/>
          <w:lang w:bidi="ar-DZ"/>
        </w:rPr>
        <w:footnoteReference w:customMarkFollows="1" w:id="8"/>
        <w:t>4</w:t>
      </w:r>
      <w:r w:rsidRPr="00CF7AE8">
        <w:rPr>
          <w:rFonts w:ascii="Simplified Arabic" w:hAnsi="Simplified Arabic" w:cs="Simplified Arabic"/>
          <w:sz w:val="32"/>
          <w:szCs w:val="32"/>
          <w:rtl/>
          <w:lang w:bidi="ar-DZ"/>
        </w:rPr>
        <w:t xml:space="preserve"> ، ففي الاعتماد اقتراب المعتمد من المعتمد عليه، أي بمعنى اقتراب المسند والمسند إليه من بعضهما بما فيه الكفاية لتحقيق العملية الإسنادية، وورد في المعجم الوسيط: « سند إليه سنودا، ركن إليه واعتمد عليه واتكأ ـ سند إليه سندا : جعل له سندا أو عمادا يستند </w:t>
      </w:r>
      <w:r w:rsidRPr="00CF7AE8">
        <w:rPr>
          <w:rFonts w:ascii="Simplified Arabic" w:hAnsi="Simplified Arabic" w:cs="Simplified Arabic"/>
          <w:sz w:val="32"/>
          <w:szCs w:val="32"/>
          <w:rtl/>
          <w:lang w:bidi="ar-DZ"/>
        </w:rPr>
        <w:lastRenderedPageBreak/>
        <w:t>إليه»</w:t>
      </w:r>
      <w:r>
        <w:rPr>
          <w:rStyle w:val="Appelnotedebasdep"/>
          <w:rFonts w:ascii="Simplified Arabic" w:hAnsi="Simplified Arabic" w:cs="Simplified Arabic"/>
          <w:sz w:val="32"/>
          <w:szCs w:val="32"/>
          <w:rtl/>
          <w:lang w:bidi="ar-DZ"/>
        </w:rPr>
        <w:footnoteReference w:customMarkFollows="1" w:id="9"/>
        <w:t>5</w:t>
      </w:r>
      <w:r w:rsidRPr="00CF7AE8">
        <w:rPr>
          <w:rFonts w:ascii="Simplified Arabic" w:hAnsi="Simplified Arabic" w:cs="Simplified Arabic"/>
          <w:sz w:val="32"/>
          <w:szCs w:val="32"/>
          <w:rtl/>
          <w:lang w:bidi="ar-DZ"/>
        </w:rPr>
        <w:t>، فالركون والاعتماد والتوكؤ لشيء على شيء آخر لا يتم إلا إذا كان الشيئان قريبين بعضهما من بعض، ومتلاحمين مما يفيد حاجة أحدهما إلى الآخر، حتى يتخذه سندا له. مما سبق يتضح أن الإسناد عموما في اللغة هو « إضافة الشيء إلى الشيء »</w:t>
      </w:r>
      <w:r>
        <w:rPr>
          <w:rStyle w:val="Appelnotedebasdep"/>
          <w:rFonts w:ascii="Simplified Arabic" w:hAnsi="Simplified Arabic" w:cs="Simplified Arabic"/>
          <w:sz w:val="32"/>
          <w:szCs w:val="32"/>
          <w:rtl/>
          <w:lang w:bidi="ar-DZ"/>
        </w:rPr>
        <w:footnoteReference w:customMarkFollows="1" w:id="10"/>
        <w:t>6</w:t>
      </w:r>
      <w:r w:rsidRPr="00CF7AE8">
        <w:rPr>
          <w:rFonts w:ascii="Simplified Arabic" w:hAnsi="Simplified Arabic" w:cs="Simplified Arabic"/>
          <w:sz w:val="32"/>
          <w:szCs w:val="32"/>
          <w:rtl/>
          <w:lang w:bidi="ar-DZ"/>
        </w:rPr>
        <w:t xml:space="preserve"> كما جاء على لسان الجرجاني في التعريفات.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اصطلاحا : </w:t>
      </w:r>
      <w:r w:rsidRPr="00CF7AE8">
        <w:rPr>
          <w:rFonts w:ascii="Simplified Arabic" w:hAnsi="Simplified Arabic" w:cs="Simplified Arabic"/>
          <w:sz w:val="32"/>
          <w:szCs w:val="32"/>
          <w:rtl/>
          <w:lang w:bidi="ar-DZ"/>
        </w:rPr>
        <w:t>يرتكز الإسناد في معناه الاصطلاحي على معناه الغوي، فهو مستمد منه، وقد جاء في عرف النحاة أنه: « عبارة عن ضم إحدى الكلمتين إلى الآخرى على وجه الإفادة التامة، أي على وجه يحسن السكوت عليه»</w:t>
      </w:r>
      <w:r>
        <w:rPr>
          <w:rStyle w:val="Appelnotedebasdep"/>
          <w:rFonts w:ascii="Simplified Arabic" w:hAnsi="Simplified Arabic" w:cs="Simplified Arabic"/>
          <w:sz w:val="32"/>
          <w:szCs w:val="32"/>
          <w:rtl/>
          <w:lang w:bidi="ar-DZ"/>
        </w:rPr>
        <w:footnoteReference w:customMarkFollows="1" w:id="11"/>
        <w:t>1</w:t>
      </w:r>
      <w:r w:rsidRPr="00CF7AE8">
        <w:rPr>
          <w:rFonts w:ascii="Simplified Arabic" w:hAnsi="Simplified Arabic" w:cs="Simplified Arabic"/>
          <w:sz w:val="32"/>
          <w:szCs w:val="32"/>
          <w:rtl/>
          <w:lang w:bidi="ar-DZ"/>
        </w:rPr>
        <w:t xml:space="preserve"> فالإسناد حينئذ هو تلك العلاقة الذهنية أو المعنوية التي لا يصرح بها في الكلام نطقا ولا كتابة، إذ هي « قرينة معنوية لتمييز المسند إليه من المسند في الجملة » </w:t>
      </w:r>
      <w:r>
        <w:rPr>
          <w:rStyle w:val="Appelnotedebasdep"/>
          <w:rFonts w:ascii="Simplified Arabic" w:hAnsi="Simplified Arabic" w:cs="Simplified Arabic"/>
          <w:sz w:val="32"/>
          <w:szCs w:val="32"/>
          <w:rtl/>
          <w:lang w:bidi="ar-DZ"/>
        </w:rPr>
        <w:footnoteReference w:customMarkFollows="1" w:id="12"/>
        <w:t>2</w:t>
      </w:r>
      <w:r w:rsidRPr="00CF7AE8">
        <w:rPr>
          <w:rFonts w:ascii="Simplified Arabic" w:hAnsi="Simplified Arabic" w:cs="Simplified Arabic"/>
          <w:sz w:val="32"/>
          <w:szCs w:val="32"/>
          <w:rtl/>
          <w:lang w:bidi="ar-DZ"/>
        </w:rPr>
        <w:t xml:space="preserve"> كما يتم بواسطة هذه العلاقة بناء الجمل على اعتبارها « علاقة المبتدأ بالخبر ،والفعل بفاعله والفعل بنائب الفاعل والوصف المعتمد بفاعله أو نائب فاعله » </w:t>
      </w:r>
      <w:r>
        <w:rPr>
          <w:rStyle w:val="Appelnotedebasdep"/>
          <w:rFonts w:ascii="Simplified Arabic" w:hAnsi="Simplified Arabic" w:cs="Simplified Arabic"/>
          <w:sz w:val="32"/>
          <w:szCs w:val="32"/>
          <w:rtl/>
          <w:lang w:bidi="ar-DZ"/>
        </w:rPr>
        <w:footnoteReference w:customMarkFollows="1" w:id="13"/>
        <w:t>3</w:t>
      </w:r>
      <w:r w:rsidRPr="00CF7AE8">
        <w:rPr>
          <w:rFonts w:ascii="Simplified Arabic" w:hAnsi="Simplified Arabic" w:cs="Simplified Arabic"/>
          <w:sz w:val="32"/>
          <w:szCs w:val="32"/>
          <w:rtl/>
          <w:lang w:bidi="ar-DZ"/>
        </w:rPr>
        <w:t xml:space="preserve"> أي هو تلك الرابطة الوثيقة التي تجمع المسند والمسند إليه أو « الحقيقة العقلية »</w:t>
      </w:r>
      <w:r>
        <w:rPr>
          <w:rStyle w:val="Appelnotedebasdep"/>
          <w:rFonts w:ascii="Simplified Arabic" w:hAnsi="Simplified Arabic" w:cs="Simplified Arabic"/>
          <w:sz w:val="32"/>
          <w:szCs w:val="32"/>
          <w:rtl/>
          <w:lang w:bidi="ar-DZ"/>
        </w:rPr>
        <w:footnoteReference w:customMarkFollows="1" w:id="14"/>
        <w:t>4</w:t>
      </w:r>
      <w:r w:rsidRPr="00CF7AE8">
        <w:rPr>
          <w:rFonts w:ascii="Simplified Arabic" w:hAnsi="Simplified Arabic" w:cs="Simplified Arabic"/>
          <w:sz w:val="32"/>
          <w:szCs w:val="32"/>
          <w:rtl/>
          <w:lang w:bidi="ar-DZ"/>
        </w:rPr>
        <w:t xml:space="preserve"> التي بدونها لا يمكن للجملة أن تكتمل و « مختصر الأمر: أنه لا يكون كلام من جزء واحد وأنه لابد من مسند ومسند إليه »</w:t>
      </w:r>
      <w:r>
        <w:rPr>
          <w:rStyle w:val="Appelnotedebasdep"/>
          <w:rFonts w:ascii="Simplified Arabic" w:hAnsi="Simplified Arabic" w:cs="Simplified Arabic"/>
          <w:sz w:val="32"/>
          <w:szCs w:val="32"/>
          <w:rtl/>
          <w:lang w:bidi="ar-DZ"/>
        </w:rPr>
        <w:footnoteReference w:customMarkFollows="1" w:id="15"/>
        <w:t>5</w:t>
      </w:r>
      <w:r w:rsidRPr="00CF7AE8">
        <w:rPr>
          <w:rFonts w:ascii="Simplified Arabic" w:hAnsi="Simplified Arabic" w:cs="Simplified Arabic"/>
          <w:sz w:val="32"/>
          <w:szCs w:val="32"/>
          <w:rtl/>
          <w:lang w:bidi="ar-DZ"/>
        </w:rPr>
        <w:t xml:space="preserve"> والإسناد ليس قضية مبتدعة، إنما هي قرينة الحديث عن الجملة والعناصر التي تتألف منها، ويمكن أن نستشف ذلك من قول سيبويه (ت 180هـ): « هذا باب المسند والمسند إليه، وهما ما لا يستغني واحد </w:t>
      </w:r>
      <w:r w:rsidRPr="00CF7AE8">
        <w:rPr>
          <w:rFonts w:ascii="Simplified Arabic" w:hAnsi="Simplified Arabic" w:cs="Simplified Arabic"/>
          <w:sz w:val="32"/>
          <w:szCs w:val="32"/>
          <w:rtl/>
          <w:lang w:bidi="ar-DZ"/>
        </w:rPr>
        <w:lastRenderedPageBreak/>
        <w:t>منهما عن الآخر »</w:t>
      </w:r>
      <w:r>
        <w:rPr>
          <w:rStyle w:val="Appelnotedebasdep"/>
          <w:rFonts w:ascii="Simplified Arabic" w:hAnsi="Simplified Arabic" w:cs="Simplified Arabic"/>
          <w:sz w:val="32"/>
          <w:szCs w:val="32"/>
          <w:rtl/>
          <w:lang w:bidi="ar-DZ"/>
        </w:rPr>
        <w:footnoteReference w:customMarkFollows="1" w:id="16"/>
        <w:t>6</w:t>
      </w:r>
      <w:r w:rsidRPr="00CF7AE8">
        <w:rPr>
          <w:rFonts w:ascii="Simplified Arabic" w:hAnsi="Simplified Arabic" w:cs="Simplified Arabic"/>
          <w:sz w:val="32"/>
          <w:szCs w:val="32"/>
          <w:rtl/>
          <w:lang w:bidi="ar-DZ"/>
        </w:rPr>
        <w:t xml:space="preserve"> ، ففي عدم الاستغناء إيحاء واضح وجلي عن العلاقة الرابطة بين المسند والمسند إليه والمتمثلة في العملية الإسنادية.</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أقسام الإسناد</w:t>
      </w:r>
      <w:r w:rsidRPr="00CF7AE8">
        <w:rPr>
          <w:rFonts w:ascii="Simplified Arabic" w:hAnsi="Simplified Arabic" w:cs="Simplified Arabic"/>
          <w:sz w:val="32"/>
          <w:szCs w:val="32"/>
          <w:rtl/>
          <w:lang w:bidi="ar-DZ"/>
        </w:rPr>
        <w:t xml:space="preserve">: يقسم النحاة العملية الإسنادية إلى قسمين: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1-الإسناد الأصلي: </w:t>
      </w:r>
      <w:r w:rsidRPr="00CF7AE8">
        <w:rPr>
          <w:rFonts w:ascii="Simplified Arabic" w:hAnsi="Simplified Arabic" w:cs="Simplified Arabic"/>
          <w:sz w:val="32"/>
          <w:szCs w:val="32"/>
          <w:rtl/>
          <w:lang w:bidi="ar-DZ"/>
        </w:rPr>
        <w:t xml:space="preserve">وهو ما تتألف منه الجملة التامة (الإسنادية) كإسناد الخبر إلى المبتدأ والمبتدأ لابد أن يكون اسما أو ضميرا، وأما المسند أو الخبر فلابد أن يكون وصفا، أو جملة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أو جارا ومجرورا، أو ظرفا أو كإسناد الفعل إلى الفاعل ، أو إسناد الفعل إلى نائب الفاعل.</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2-الإسناد غير الأصلي:</w:t>
      </w:r>
      <w:r w:rsidRPr="00CF7AE8">
        <w:rPr>
          <w:rFonts w:ascii="Simplified Arabic" w:hAnsi="Simplified Arabic" w:cs="Simplified Arabic"/>
          <w:sz w:val="32"/>
          <w:szCs w:val="32"/>
          <w:rtl/>
          <w:lang w:bidi="ar-DZ"/>
        </w:rPr>
        <w:t xml:space="preserve">  وهو إسناد المصدر أو وصف كـ(اسم الفاعل، أو الصفة المشبهة أو صيغ المبالغة، أو اسم المفعول ) إلى اسم مرفوع أو ضمير منفصل نحو: أناجح الطالبان، ما حاضر أنت، ما محبوب الخائن... و « اسم الفاعل وغيره من الصفات لا تكون جملة مع مرفوعه إلا إذا تجرد، لأن يكون مسندا لهذا المرفوع ليس إلا، وذلك إذا اكتفى الوصف بمرفوعه في نحو: أمسافر الرجلان، وما حاضر الطلاب، فهنا تجرد الوصف لكونه مسندا إلى المرفوع بعده، فهذه الجملة مؤلفة من مسند ومسند إليه»</w:t>
      </w:r>
      <w:r w:rsidRPr="00CF7AE8">
        <w:rPr>
          <w:rStyle w:val="Appelnotedebasdep"/>
          <w:rFonts w:ascii="Simplified Arabic" w:hAnsi="Simplified Arabic" w:cs="Simplified Arabic"/>
          <w:sz w:val="32"/>
          <w:szCs w:val="32"/>
          <w:rtl/>
          <w:lang w:bidi="ar-DZ"/>
        </w:rPr>
        <w:footnoteReference w:customMarkFollows="1" w:id="17"/>
        <w:t>1</w:t>
      </w:r>
      <w:r w:rsidRPr="00CF7AE8">
        <w:rPr>
          <w:rFonts w:ascii="Simplified Arabic" w:hAnsi="Simplified Arabic" w:cs="Simplified Arabic"/>
          <w:sz w:val="32"/>
          <w:szCs w:val="32"/>
          <w:rtl/>
          <w:lang w:bidi="ar-DZ"/>
        </w:rPr>
        <w:t>،ويقسم فاضل صالح السامرائي الإسناد إلى إسناد تام وآخر ناقص</w:t>
      </w:r>
      <w:r w:rsidRPr="00CF7AE8">
        <w:rPr>
          <w:rStyle w:val="Appelnotedebasdep"/>
          <w:rFonts w:ascii="Simplified Arabic" w:hAnsi="Simplified Arabic" w:cs="Simplified Arabic"/>
          <w:sz w:val="32"/>
          <w:szCs w:val="32"/>
          <w:rtl/>
          <w:lang w:bidi="ar-DZ"/>
        </w:rPr>
        <w:footnoteReference w:customMarkFollows="1" w:id="18"/>
        <w:t>2</w:t>
      </w:r>
      <w:r w:rsidRPr="00CF7AE8">
        <w:rPr>
          <w:rFonts w:ascii="Simplified Arabic" w:hAnsi="Simplified Arabic" w:cs="Simplified Arabic"/>
          <w:sz w:val="32"/>
          <w:szCs w:val="32"/>
          <w:rtl/>
          <w:lang w:bidi="ar-DZ"/>
        </w:rPr>
        <w:t>.</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أ-الإسناد التام: </w:t>
      </w:r>
      <w:r w:rsidRPr="00CF7AE8">
        <w:rPr>
          <w:rFonts w:ascii="Simplified Arabic" w:hAnsi="Simplified Arabic" w:cs="Simplified Arabic"/>
          <w:sz w:val="32"/>
          <w:szCs w:val="32"/>
          <w:rtl/>
          <w:lang w:bidi="ar-DZ"/>
        </w:rPr>
        <w:t xml:space="preserve">وهو ما اشتمل على طرفي الإسناد مذكورين، نحو الحلال بيّن، أو مقدرين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lastRenderedPageBreak/>
        <w:t xml:space="preserve">أو مذكور أحدهما ومقدر الآخر في نحو قوله تعالى: </w:t>
      </w:r>
      <w:r w:rsidRPr="00CF7AE8">
        <w:rPr>
          <w:rFonts w:ascii="Simplified Arabic" w:hAnsi="Simplified Arabic" w:cs="Simplified Arabic"/>
          <w:sz w:val="32"/>
          <w:szCs w:val="32"/>
          <w:lang w:val="fr-FR" w:bidi="ar-DZ"/>
        </w:rPr>
        <w:sym w:font="AGA Arabesque" w:char="0029"/>
      </w:r>
      <w:r w:rsidRPr="00CF7AE8">
        <w:rPr>
          <w:rFonts w:ascii="Simplified Arabic" w:hAnsi="Simplified Arabic" w:cs="Simplified Arabic"/>
          <w:sz w:val="32"/>
          <w:szCs w:val="32"/>
          <w:rtl/>
          <w:lang w:bidi="ar-DZ"/>
        </w:rPr>
        <w:t xml:space="preserve"> فَقَالُوا سَلاَمًا قَالَ سَلاَمٌ قَوْمٌ مُنْكَرُونَ</w:t>
      </w:r>
      <w:r w:rsidRPr="00CF7AE8">
        <w:rPr>
          <w:rFonts w:ascii="Simplified Arabic" w:hAnsi="Simplified Arabic" w:cs="Simplified Arabic"/>
          <w:sz w:val="32"/>
          <w:szCs w:val="32"/>
          <w:lang w:bidi="ar-DZ"/>
        </w:rPr>
        <w:sym w:font="AGA Arabesque" w:char="0028"/>
      </w:r>
      <w:r w:rsidRPr="00CF7AE8">
        <w:rPr>
          <w:rFonts w:ascii="Simplified Arabic" w:hAnsi="Simplified Arabic" w:cs="Simplified Arabic"/>
          <w:sz w:val="32"/>
          <w:szCs w:val="32"/>
          <w:rtl/>
          <w:lang w:bidi="ar-DZ"/>
        </w:rPr>
        <w:t xml:space="preserve"> [الذاريات: 25] فـ (سلاما) مفعول لإسناد تام حذف طرفاه والتقدير : سَلمَ سلاما أو نحو ذلك، و(سلام) إسناد تام حذف منه المسند والتقدير سلام عليكم، و(قوم) إسناد تام حذف منه المسند إليه والتقدير : أنتم قوم منكرون.</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ب-الإسناد الناقص:</w:t>
      </w:r>
      <w:r w:rsidRPr="00CF7AE8">
        <w:rPr>
          <w:rFonts w:ascii="Simplified Arabic" w:hAnsi="Simplified Arabic" w:cs="Simplified Arabic"/>
          <w:sz w:val="32"/>
          <w:szCs w:val="32"/>
          <w:rtl/>
          <w:lang w:bidi="ar-DZ"/>
        </w:rPr>
        <w:t xml:space="preserve"> وهو الإسناد الذي يذكر فيه أحد الطرفين من دون ذكر للطرف الآخر لا لفظا ولا تقديرا، نحو قوله تعالى: </w:t>
      </w:r>
      <w:r w:rsidRPr="00CF7AE8">
        <w:rPr>
          <w:rFonts w:ascii="Simplified Arabic" w:hAnsi="Simplified Arabic" w:cs="Simplified Arabic"/>
          <w:sz w:val="32"/>
          <w:szCs w:val="32"/>
          <w:lang w:val="fr-FR" w:bidi="ar-DZ"/>
        </w:rPr>
        <w:sym w:font="AGA Arabesque" w:char="0029"/>
      </w:r>
      <w:r w:rsidRPr="00CF7AE8">
        <w:rPr>
          <w:rFonts w:ascii="Simplified Arabic" w:hAnsi="Simplified Arabic" w:cs="Simplified Arabic"/>
          <w:sz w:val="32"/>
          <w:szCs w:val="32"/>
          <w:rtl/>
          <w:lang w:val="fr-FR" w:bidi="ar-DZ"/>
        </w:rPr>
        <w:t xml:space="preserve"> </w:t>
      </w:r>
      <w:r w:rsidRPr="00CF7AE8">
        <w:rPr>
          <w:rFonts w:ascii="Simplified Arabic" w:hAnsi="Simplified Arabic" w:cs="Simplified Arabic"/>
          <w:sz w:val="32"/>
          <w:szCs w:val="32"/>
          <w:rtl/>
          <w:lang w:bidi="ar-DZ"/>
        </w:rPr>
        <w:t xml:space="preserve">خَاشِعَةً أَبْصَارُهُمْ تَرْهَقُهُمْ ذِلَّةٌ </w:t>
      </w:r>
      <w:r w:rsidRPr="00CF7AE8">
        <w:rPr>
          <w:rFonts w:ascii="Simplified Arabic" w:hAnsi="Simplified Arabic" w:cs="Simplified Arabic"/>
          <w:sz w:val="32"/>
          <w:szCs w:val="32"/>
          <w:lang w:bidi="ar-DZ"/>
        </w:rPr>
        <w:sym w:font="AGA Arabesque" w:char="0028"/>
      </w:r>
      <w:r w:rsidRPr="00CF7AE8">
        <w:rPr>
          <w:rFonts w:ascii="Simplified Arabic" w:hAnsi="Simplified Arabic" w:cs="Simplified Arabic"/>
          <w:sz w:val="32"/>
          <w:szCs w:val="32"/>
          <w:lang w:bidi="ar-DZ"/>
        </w:rPr>
        <w:t xml:space="preserve"> </w:t>
      </w:r>
      <w:r w:rsidRPr="00CF7AE8">
        <w:rPr>
          <w:rFonts w:ascii="Simplified Arabic" w:hAnsi="Simplified Arabic" w:cs="Simplified Arabic"/>
          <w:sz w:val="32"/>
          <w:szCs w:val="32"/>
          <w:rtl/>
          <w:lang w:bidi="ar-DZ"/>
        </w:rPr>
        <w:t xml:space="preserve"> [المعارج: 44] فكلمة (خاشعة) حال و(أبصارهم) فاعل لاسم الفاعل الواقع فضلة  وهو مسند إليه وليس له مسند، لأن الرافع له فضلة وليس عمدة، فهذا إسناد ناقص. </w:t>
      </w:r>
    </w:p>
    <w:p w:rsidR="00EA278A"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b/>
          <w:bCs/>
          <w:sz w:val="32"/>
          <w:szCs w:val="32"/>
          <w:rtl/>
          <w:lang w:bidi="ar-DZ"/>
        </w:rPr>
        <w:t xml:space="preserve">علامة الإسناد: </w:t>
      </w:r>
      <w:r w:rsidRPr="00CF7AE8">
        <w:rPr>
          <w:rFonts w:ascii="Simplified Arabic" w:hAnsi="Simplified Arabic" w:cs="Simplified Arabic"/>
          <w:sz w:val="32"/>
          <w:szCs w:val="32"/>
          <w:rtl/>
          <w:lang w:bidi="ar-DZ"/>
        </w:rPr>
        <w:t xml:space="preserve">لقد أعطى نحاتنا الحركات الإعرابية حظا وافرا من الدراسة لإبراز دورها في تحديد وظائف الكلمات في السياق، فبها تتمايز المعاني المختلفة، ولما كانت الأسماء مختلفة </w:t>
      </w:r>
      <w:r>
        <w:rPr>
          <w:rFonts w:ascii="Simplified Arabic" w:hAnsi="Simplified Arabic" w:cs="Simplified Arabic"/>
          <w:sz w:val="32"/>
          <w:szCs w:val="32"/>
          <w:rtl/>
          <w:lang w:bidi="ar-DZ"/>
        </w:rPr>
        <w:t>المعاني باختلاف الموقع الإعرابي</w:t>
      </w:r>
      <w:r>
        <w:rPr>
          <w:rFonts w:ascii="Simplified Arabic" w:hAnsi="Simplified Arabic" w:cs="Simplified Arabic" w:hint="cs"/>
          <w:sz w:val="32"/>
          <w:szCs w:val="32"/>
          <w:rtl/>
          <w:lang w:bidi="ar-DZ"/>
        </w:rPr>
        <w:t xml:space="preserve">؛ </w:t>
      </w:r>
      <w:r w:rsidRPr="00CF7AE8">
        <w:rPr>
          <w:rFonts w:ascii="Simplified Arabic" w:hAnsi="Simplified Arabic" w:cs="Simplified Arabic"/>
          <w:sz w:val="32"/>
          <w:szCs w:val="32"/>
          <w:rtl/>
          <w:lang w:bidi="ar-DZ"/>
        </w:rPr>
        <w:t>فتكون فاعلة ومفعولة ومضافة ومضافا إليها ولم تكن في صورها وأبنيتها أدلة على هذه المعاني، بل كانت مشتركة جعلت حركات الإعراب فيها تنبئ عن هذه المعاني.</w:t>
      </w:r>
    </w:p>
    <w:p w:rsidR="00EA278A" w:rsidRDefault="00EA278A" w:rsidP="00EA278A">
      <w:pPr>
        <w:jc w:val="lowKashida"/>
        <w:rPr>
          <w:rFonts w:ascii="Simplified Arabic" w:hAnsi="Simplified Arabic" w:cs="Simplified Arabic"/>
          <w:sz w:val="32"/>
          <w:szCs w:val="32"/>
          <w:rtl/>
          <w:lang w:bidi="ar-DZ"/>
        </w:rPr>
      </w:pPr>
    </w:p>
    <w:p w:rsidR="00EA278A"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 تلك الحركات تتمثل في « النصب والجر والرفع والجزم، والفتح والكسر والضم والوقف »</w:t>
      </w:r>
      <w:r w:rsidRPr="00CF7AE8">
        <w:rPr>
          <w:rStyle w:val="Appelnotedebasdep"/>
          <w:rFonts w:ascii="Simplified Arabic" w:hAnsi="Simplified Arabic" w:cs="Simplified Arabic"/>
          <w:sz w:val="32"/>
          <w:szCs w:val="32"/>
          <w:rtl/>
          <w:lang w:bidi="ar-DZ"/>
        </w:rPr>
        <w:t>4</w:t>
      </w:r>
      <w:r>
        <w:rPr>
          <w:rStyle w:val="Appelnotedebasdep"/>
          <w:rFonts w:ascii="Simplified Arabic" w:hAnsi="Simplified Arabic" w:cs="Simplified Arabic"/>
          <w:sz w:val="32"/>
          <w:szCs w:val="32"/>
          <w:rtl/>
          <w:lang w:bidi="ar-DZ"/>
        </w:rPr>
        <w:footnoteReference w:customMarkFollows="1" w:id="19"/>
        <w:t>1</w:t>
      </w:r>
      <w:r w:rsidRPr="00CF7AE8">
        <w:rPr>
          <w:rFonts w:ascii="Simplified Arabic" w:hAnsi="Simplified Arabic" w:cs="Simplified Arabic"/>
          <w:sz w:val="32"/>
          <w:szCs w:val="32"/>
          <w:rtl/>
          <w:lang w:bidi="ar-DZ"/>
        </w:rPr>
        <w:t xml:space="preserve"> </w:t>
      </w:r>
    </w:p>
    <w:p w:rsidR="00EA278A" w:rsidRPr="00CF7AE8" w:rsidRDefault="00EA278A" w:rsidP="00EA278A">
      <w:pPr>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t xml:space="preserve">فالنصب والجر والرفع والجزم للاسم المعرب، والفتح والكسر والضم والوقف للاسم المبني، فالعلامة الواحدة مثلا: (الضمة ) تختلف دلالتها باختلاف نوع الكلمة </w:t>
      </w:r>
      <w:r w:rsidRPr="00CF7AE8">
        <w:rPr>
          <w:rFonts w:ascii="Simplified Arabic" w:hAnsi="Simplified Arabic" w:cs="Simplified Arabic"/>
          <w:sz w:val="32"/>
          <w:szCs w:val="32"/>
          <w:rtl/>
          <w:lang w:bidi="ar-DZ"/>
        </w:rPr>
        <w:lastRenderedPageBreak/>
        <w:t xml:space="preserve">التي توجد فيها، فإذا كانت الكلمة معربة كانت دلالة العلامة الرفع، وإذا كانت الكلمة مبنية كانت دلالة العلامة الضم. </w:t>
      </w:r>
    </w:p>
    <w:p w:rsidR="00EA278A" w:rsidRPr="00CF7AE8" w:rsidRDefault="00EA278A" w:rsidP="00EA278A">
      <w:pPr>
        <w:ind w:firstLine="708"/>
        <w:jc w:val="lowKashida"/>
        <w:rPr>
          <w:rFonts w:ascii="Simplified Arabic" w:hAnsi="Simplified Arabic" w:cs="Simplified Arabic"/>
          <w:sz w:val="32"/>
          <w:szCs w:val="32"/>
          <w:rtl/>
          <w:lang w:bidi="ar-DZ"/>
        </w:rPr>
      </w:pPr>
      <w:r w:rsidRPr="00CF7AE8">
        <w:rPr>
          <w:rFonts w:ascii="Simplified Arabic" w:hAnsi="Simplified Arabic" w:cs="Simplified Arabic"/>
          <w:sz w:val="32"/>
          <w:szCs w:val="32"/>
          <w:rtl/>
          <w:lang w:bidi="ar-DZ"/>
        </w:rPr>
        <w:footnoteReference w:customMarkFollows="1" w:id="20"/>
        <w:t>و يختلف تأثير الحركات الإعرابية على الكلمات فلكل حركة تأثير خاص، فالفتحة تشير إلى أن الكلمة المنصوبة مفعول ... أو حال أو تمييز ... أما الضمة فتوحي بأن الكلمة المرفوعة مبتدأ أو فاعل أو نائب فاعل، وهذا ما يؤكد أن الضمة علم الإسناد، أي أن الكلمة المرفوعة مسند إليها شيء معين ففي نحو: قرأ الباحث الكتاب، فكلمة (الباحث) مسند إليه وعلامة الإسناد إليه هي حركة الضمة، أما الشيء المسند إليه فهو القراءة، وإلى هذا التأكيد ذهب إبراهيم مصطفى في كتابه إحياء النحو إذ يقول: « الضمة علم الإسناد، ودليل أن الكلمة المرفوعة يراد أن يسند إليها ويتحدث عنها »</w:t>
      </w:r>
      <w:r>
        <w:rPr>
          <w:rStyle w:val="Appelnotedebasdep"/>
          <w:rFonts w:ascii="Simplified Arabic" w:hAnsi="Simplified Arabic" w:cs="Simplified Arabic"/>
          <w:sz w:val="32"/>
          <w:szCs w:val="32"/>
          <w:rtl/>
          <w:lang w:bidi="ar-DZ"/>
        </w:rPr>
        <w:footnoteReference w:customMarkFollows="1" w:id="21"/>
        <w:t>2</w:t>
      </w:r>
      <w:r w:rsidRPr="00CF7AE8">
        <w:rPr>
          <w:rFonts w:ascii="Simplified Arabic" w:hAnsi="Simplified Arabic" w:cs="Simplified Arabic"/>
          <w:sz w:val="32"/>
          <w:szCs w:val="32"/>
          <w:rtl/>
          <w:lang w:bidi="ar-DZ"/>
        </w:rPr>
        <w:t xml:space="preserve">  وذهب الأستاذ الدكتور الشريف ميهوبي مذهبا آخرا إذ يرى بأن الحركة الإعرابية وحدها ليست قادرة على تحديد العناصر الإسنادية في الجملة، بل يجب أن نعتمد على الجانبين معا المعنوي والشكلي في تحديدها، إذ يقول: « ينبغي الا ننساق وراء الحركة الإعرابية في تحديد وظيفة الكلمة، لأن الجانب الشكلي وحده لا يسعفنا في تحديد العناصر الإسنادية في بعض الأنواع من الجمل »</w:t>
      </w:r>
      <w:r>
        <w:rPr>
          <w:rStyle w:val="Appelnotedebasdep"/>
          <w:rFonts w:ascii="Simplified Arabic" w:hAnsi="Simplified Arabic" w:cs="Simplified Arabic"/>
          <w:sz w:val="32"/>
          <w:szCs w:val="32"/>
          <w:rtl/>
          <w:lang w:bidi="ar-DZ"/>
        </w:rPr>
        <w:footnoteReference w:customMarkFollows="1" w:id="22"/>
        <w:t>3</w:t>
      </w:r>
      <w:r w:rsidRPr="00CF7AE8">
        <w:rPr>
          <w:rFonts w:ascii="Simplified Arabic" w:hAnsi="Simplified Arabic" w:cs="Simplified Arabic"/>
          <w:sz w:val="32"/>
          <w:szCs w:val="32"/>
          <w:rtl/>
          <w:lang w:bidi="ar-DZ"/>
        </w:rPr>
        <w:t>، ويقصد بالشكل الموقع والحركة الإعرابية، فالاسم الذي يقع في صدر الجملة مثلا، ويكون مرفوعا ، لا يمثل دائما العنصر الإسنادي كالمسند إليه أو المسند فقد يكون مفعولا به أو مضافا إليه أو اسما مجرورا، كما لا يمكن أن يكون الفاعل دائما مرفوعا.</w:t>
      </w:r>
    </w:p>
    <w:p w:rsidR="00EA278A" w:rsidRPr="00CF7AE8" w:rsidRDefault="00EA278A" w:rsidP="00EA278A">
      <w:pPr>
        <w:ind w:firstLine="708"/>
        <w:jc w:val="lowKashida"/>
        <w:rPr>
          <w:rFonts w:ascii="Simplified Arabic" w:hAnsi="Simplified Arabic" w:cs="Simplified Arabic"/>
          <w:sz w:val="32"/>
          <w:szCs w:val="32"/>
          <w:rtl/>
          <w:lang w:bidi="ar-DZ"/>
        </w:rPr>
      </w:pPr>
    </w:p>
    <w:p w:rsidR="00112A48" w:rsidRDefault="00112A48" w:rsidP="00EA278A">
      <w:pPr>
        <w:rPr>
          <w:lang w:bidi="ar-DZ"/>
        </w:rPr>
      </w:pPr>
    </w:p>
    <w:sectPr w:rsidR="00112A48" w:rsidSect="00112A4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E7" w:rsidRDefault="008E37E7" w:rsidP="00EA278A">
      <w:pPr>
        <w:spacing w:after="0" w:line="240" w:lineRule="auto"/>
      </w:pPr>
      <w:r>
        <w:separator/>
      </w:r>
    </w:p>
  </w:endnote>
  <w:endnote w:type="continuationSeparator" w:id="1">
    <w:p w:rsidR="008E37E7" w:rsidRDefault="008E37E7" w:rsidP="00EA2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E7" w:rsidRDefault="008E37E7" w:rsidP="00EA278A">
      <w:pPr>
        <w:spacing w:after="0" w:line="240" w:lineRule="auto"/>
      </w:pPr>
      <w:r>
        <w:separator/>
      </w:r>
    </w:p>
  </w:footnote>
  <w:footnote w:type="continuationSeparator" w:id="1">
    <w:p w:rsidR="008E37E7" w:rsidRDefault="008E37E7" w:rsidP="00EA278A">
      <w:pPr>
        <w:spacing w:after="0" w:line="240" w:lineRule="auto"/>
      </w:pPr>
      <w:r>
        <w:continuationSeparator/>
      </w:r>
    </w:p>
  </w:footnote>
  <w:footnote w:id="2">
    <w:p w:rsidR="00EA278A" w:rsidRDefault="00EA278A" w:rsidP="00EA278A">
      <w:pPr>
        <w:pStyle w:val="Notedebasdepage"/>
        <w:jc w:val="both"/>
        <w:rPr>
          <w:rFonts w:cs="Traditional Arabic"/>
          <w:sz w:val="24"/>
          <w:szCs w:val="24"/>
          <w:rtl/>
          <w:lang w:bidi="ar-DZ"/>
        </w:rPr>
      </w:pPr>
      <w:r>
        <w:rPr>
          <w:rStyle w:val="Appelnotedebasdep"/>
          <w:rtl/>
        </w:rPr>
        <w:t>1</w:t>
      </w:r>
      <w:r>
        <w:rPr>
          <w:rFonts w:hint="cs"/>
          <w:rtl/>
        </w:rPr>
        <w:t xml:space="preserve"> </w:t>
      </w:r>
      <w:r>
        <w:rPr>
          <w:rFonts w:cs="Traditional Arabic"/>
          <w:sz w:val="24"/>
          <w:szCs w:val="24"/>
          <w:lang w:val="fr-FR"/>
        </w:rPr>
        <w:t xml:space="preserve">- </w:t>
      </w:r>
      <w:r>
        <w:rPr>
          <w:rFonts w:cs="Traditional Arabic"/>
          <w:sz w:val="24"/>
          <w:szCs w:val="24"/>
          <w:rtl/>
          <w:lang w:bidi="ar-DZ"/>
        </w:rPr>
        <w:t>سيبويه، الكتاب، ج1 ، ص : 48.</w:t>
      </w:r>
    </w:p>
  </w:footnote>
  <w:footnote w:id="3">
    <w:p w:rsidR="00EA278A" w:rsidRDefault="00EA278A" w:rsidP="00EA278A">
      <w:pPr>
        <w:pStyle w:val="Notedebasdepage"/>
        <w:jc w:val="both"/>
        <w:rPr>
          <w:rFonts w:cs="Traditional Arabic"/>
          <w:sz w:val="24"/>
          <w:szCs w:val="24"/>
          <w:rtl/>
          <w:lang w:bidi="ar-DZ"/>
        </w:rPr>
      </w:pPr>
      <w:r>
        <w:rPr>
          <w:rStyle w:val="Appelnotedebasdep"/>
          <w:rtl/>
        </w:rPr>
        <w:t>2</w:t>
      </w:r>
      <w:r>
        <w:rPr>
          <w:rFonts w:cs="Traditional Arabic" w:hint="cs"/>
          <w:sz w:val="24"/>
          <w:szCs w:val="24"/>
        </w:rPr>
        <w:t xml:space="preserve"> </w:t>
      </w:r>
      <w:r>
        <w:rPr>
          <w:rFonts w:cs="Traditional Arabic"/>
          <w:sz w:val="24"/>
          <w:szCs w:val="24"/>
          <w:rtl/>
          <w:lang w:bidi="ar-DZ"/>
        </w:rPr>
        <w:t xml:space="preserve">– </w:t>
      </w:r>
      <w:r>
        <w:rPr>
          <w:rFonts w:cs="Traditional Arabic" w:hint="cs"/>
          <w:sz w:val="24"/>
          <w:szCs w:val="24"/>
          <w:rtl/>
          <w:lang w:bidi="ar-DZ"/>
        </w:rPr>
        <w:t>المرجع نفسه</w:t>
      </w:r>
      <w:r>
        <w:rPr>
          <w:rFonts w:cs="Traditional Arabic"/>
          <w:sz w:val="24"/>
          <w:szCs w:val="24"/>
          <w:rtl/>
          <w:lang w:bidi="ar-DZ"/>
        </w:rPr>
        <w:t xml:space="preserve">، </w:t>
      </w:r>
      <w:r>
        <w:rPr>
          <w:rFonts w:cs="Traditional Arabic" w:hint="cs"/>
          <w:sz w:val="24"/>
          <w:szCs w:val="24"/>
          <w:rtl/>
          <w:lang w:bidi="ar-DZ"/>
        </w:rPr>
        <w:t>ج1</w:t>
      </w:r>
      <w:r>
        <w:rPr>
          <w:rFonts w:cs="Traditional Arabic"/>
          <w:sz w:val="24"/>
          <w:szCs w:val="24"/>
          <w:rtl/>
          <w:lang w:bidi="ar-DZ"/>
        </w:rPr>
        <w:t>، ص 23.</w:t>
      </w:r>
    </w:p>
  </w:footnote>
  <w:footnote w:id="4">
    <w:p w:rsidR="00EA278A" w:rsidRDefault="00EA278A" w:rsidP="00EA278A">
      <w:pPr>
        <w:pStyle w:val="Notedebasdepage"/>
        <w:jc w:val="both"/>
        <w:rPr>
          <w:rFonts w:cs="Traditional Arabic"/>
          <w:sz w:val="24"/>
          <w:szCs w:val="24"/>
          <w:rtl/>
          <w:lang w:bidi="ar-DZ"/>
        </w:rPr>
      </w:pPr>
      <w:r>
        <w:rPr>
          <w:rStyle w:val="Appelnotedebasdep"/>
          <w:rtl/>
        </w:rPr>
        <w:t>3</w:t>
      </w:r>
      <w:r>
        <w:rPr>
          <w:rFonts w:cs="Traditional Arabic" w:hint="cs"/>
          <w:sz w:val="24"/>
          <w:szCs w:val="24"/>
        </w:rPr>
        <w:t xml:space="preserve"> </w:t>
      </w:r>
      <w:r>
        <w:rPr>
          <w:rFonts w:cs="Traditional Arabic"/>
          <w:sz w:val="24"/>
          <w:szCs w:val="24"/>
          <w:rtl/>
          <w:lang w:bidi="ar-DZ"/>
        </w:rPr>
        <w:t xml:space="preserve"> -</w:t>
      </w:r>
      <w:r>
        <w:rPr>
          <w:rFonts w:cs="Traditional Arabic" w:hint="cs"/>
          <w:sz w:val="24"/>
          <w:szCs w:val="24"/>
          <w:rtl/>
          <w:lang w:bidi="ar-DZ"/>
        </w:rPr>
        <w:t xml:space="preserve"> </w:t>
      </w:r>
      <w:r>
        <w:rPr>
          <w:rFonts w:cs="Traditional Arabic"/>
          <w:sz w:val="24"/>
          <w:szCs w:val="24"/>
          <w:rtl/>
          <w:lang w:bidi="ar-DZ"/>
        </w:rPr>
        <w:t>مح</w:t>
      </w:r>
      <w:r>
        <w:rPr>
          <w:rFonts w:cs="Traditional Arabic" w:hint="cs"/>
          <w:sz w:val="24"/>
          <w:szCs w:val="24"/>
          <w:rtl/>
          <w:lang w:bidi="ar-DZ"/>
        </w:rPr>
        <w:t>ـ</w:t>
      </w:r>
      <w:r>
        <w:rPr>
          <w:rFonts w:cs="Traditional Arabic"/>
          <w:sz w:val="24"/>
          <w:szCs w:val="24"/>
          <w:rtl/>
          <w:lang w:bidi="ar-DZ"/>
        </w:rPr>
        <w:t>مد سمير نجيب اللبدي، معجم المصطلحات النحوية والصرفية، بيروت، مؤسسة الرسالة، ص 107.</w:t>
      </w:r>
    </w:p>
  </w:footnote>
  <w:footnote w:id="5">
    <w:p w:rsidR="00EA278A" w:rsidRDefault="00EA278A" w:rsidP="00EA278A">
      <w:pPr>
        <w:pStyle w:val="Notedebasdepage"/>
        <w:jc w:val="both"/>
        <w:rPr>
          <w:rFonts w:cs="Traditional Arabic"/>
          <w:sz w:val="24"/>
          <w:szCs w:val="24"/>
          <w:rtl/>
          <w:lang w:bidi="ar-DZ"/>
        </w:rPr>
      </w:pPr>
      <w:r>
        <w:rPr>
          <w:rStyle w:val="Appelnotedebasdep"/>
          <w:rtl/>
        </w:rPr>
        <w:t>1</w:t>
      </w:r>
      <w:r>
        <w:rPr>
          <w:rFonts w:cs="Traditional Arabic" w:hint="cs"/>
          <w:sz w:val="24"/>
          <w:szCs w:val="24"/>
        </w:rPr>
        <w:t xml:space="preserve"> </w:t>
      </w:r>
      <w:r>
        <w:rPr>
          <w:rFonts w:cs="Traditional Arabic"/>
          <w:sz w:val="24"/>
          <w:szCs w:val="24"/>
          <w:rtl/>
          <w:lang w:bidi="ar-DZ"/>
        </w:rPr>
        <w:t>-أبو الحسن أحمد بن فارس بن زكريا، معجم المقاييس في اللغة، ت/ شهاب الدين أبو عمرو، مادة (س-ن-د).</w:t>
      </w:r>
    </w:p>
  </w:footnote>
  <w:footnote w:id="6">
    <w:p w:rsidR="00EA278A" w:rsidRDefault="00EA278A" w:rsidP="00EA278A">
      <w:pPr>
        <w:pStyle w:val="Notedebasdepage"/>
        <w:jc w:val="both"/>
        <w:rPr>
          <w:rFonts w:cs="Traditional Arabic"/>
          <w:sz w:val="24"/>
          <w:szCs w:val="24"/>
          <w:rtl/>
          <w:lang w:bidi="ar-DZ"/>
        </w:rPr>
      </w:pPr>
      <w:r>
        <w:rPr>
          <w:rStyle w:val="Appelnotedebasdep"/>
          <w:rtl/>
        </w:rPr>
        <w:t>2</w:t>
      </w:r>
      <w:r>
        <w:rPr>
          <w:rFonts w:hint="cs"/>
          <w:rtl/>
        </w:rPr>
        <w:t xml:space="preserve"> </w:t>
      </w:r>
      <w:r>
        <w:rPr>
          <w:rFonts w:cs="Traditional Arabic"/>
          <w:sz w:val="24"/>
          <w:szCs w:val="24"/>
          <w:lang w:val="fr-FR"/>
        </w:rPr>
        <w:t xml:space="preserve">- </w:t>
      </w:r>
      <w:r>
        <w:rPr>
          <w:rFonts w:cs="Traditional Arabic"/>
          <w:sz w:val="24"/>
          <w:szCs w:val="24"/>
          <w:rtl/>
          <w:lang w:val="fr-FR" w:bidi="ar-DZ"/>
        </w:rPr>
        <w:t xml:space="preserve"> </w:t>
      </w:r>
      <w:r>
        <w:rPr>
          <w:rFonts w:cs="Traditional Arabic"/>
          <w:sz w:val="24"/>
          <w:szCs w:val="24"/>
          <w:rtl/>
          <w:lang w:bidi="ar-DZ"/>
        </w:rPr>
        <w:t>الزمخشري ، أساس البلاغة، مادة (سند).</w:t>
      </w:r>
    </w:p>
  </w:footnote>
  <w:footnote w:id="7">
    <w:p w:rsidR="00EA278A" w:rsidRDefault="00EA278A" w:rsidP="00EA278A">
      <w:pPr>
        <w:pStyle w:val="Notedebasdepage"/>
        <w:rPr>
          <w:rtl/>
          <w:lang w:val="fr-FR"/>
        </w:rPr>
      </w:pPr>
      <w:r>
        <w:rPr>
          <w:rStyle w:val="Appelnotedebasdep"/>
          <w:rtl/>
        </w:rPr>
        <w:t>3</w:t>
      </w:r>
      <w:r>
        <w:rPr>
          <w:rFonts w:hint="cs"/>
          <w:rtl/>
        </w:rPr>
        <w:t xml:space="preserve"> -  جمال الدين أبي الفضل محمد بن مكرم ابن منظور الأنصاري الإفريقي المصري ، تحقيق : عامر أحمد حيدر ، ط1 ، بيروت :2002 دار الكتب العلمية ، ج3 ، مادة </w:t>
      </w:r>
      <w:r>
        <w:rPr>
          <w:lang w:val="fr-FR"/>
        </w:rPr>
        <w:t>)</w:t>
      </w:r>
      <w:r>
        <w:rPr>
          <w:rFonts w:hint="cs"/>
          <w:rtl/>
          <w:lang w:val="fr-FR"/>
        </w:rPr>
        <w:t xml:space="preserve">سند </w:t>
      </w:r>
      <w:r>
        <w:rPr>
          <w:lang w:val="fr-FR"/>
        </w:rPr>
        <w:t>(</w:t>
      </w:r>
      <w:r>
        <w:rPr>
          <w:rFonts w:hint="cs"/>
          <w:rtl/>
          <w:lang w:val="fr-FR"/>
        </w:rPr>
        <w:t xml:space="preserve"> .</w:t>
      </w:r>
    </w:p>
  </w:footnote>
  <w:footnote w:id="8">
    <w:p w:rsidR="00EA278A" w:rsidRDefault="00EA278A" w:rsidP="00EA278A">
      <w:pPr>
        <w:pStyle w:val="Notedebasdepage"/>
        <w:jc w:val="both"/>
        <w:rPr>
          <w:rFonts w:cs="Traditional Arabic"/>
          <w:sz w:val="24"/>
          <w:szCs w:val="24"/>
          <w:rtl/>
          <w:lang w:bidi="ar-DZ"/>
        </w:rPr>
      </w:pPr>
      <w:r>
        <w:rPr>
          <w:rStyle w:val="Appelnotedebasdep"/>
          <w:rtl/>
        </w:rPr>
        <w:t>4</w:t>
      </w:r>
      <w:r>
        <w:rPr>
          <w:rFonts w:hint="cs"/>
          <w:rtl/>
        </w:rPr>
        <w:t xml:space="preserve"> </w:t>
      </w:r>
      <w:r>
        <w:rPr>
          <w:rFonts w:cs="Traditional Arabic"/>
          <w:sz w:val="24"/>
          <w:szCs w:val="24"/>
          <w:lang w:val="fr-FR"/>
        </w:rPr>
        <w:t xml:space="preserve">- </w:t>
      </w:r>
      <w:r>
        <w:rPr>
          <w:rFonts w:cs="Traditional Arabic"/>
          <w:sz w:val="24"/>
          <w:szCs w:val="24"/>
          <w:rtl/>
          <w:lang w:bidi="ar-DZ"/>
        </w:rPr>
        <w:t xml:space="preserve"> محي الدين محمد بن يعقوب بن محمد بن إبراهيم الفيروز أبادي، الشيرازي الشافعي، القاموس المحيط</w:t>
      </w:r>
      <w:r>
        <w:rPr>
          <w:rFonts w:cs="Traditional Arabic"/>
          <w:sz w:val="24"/>
          <w:szCs w:val="24"/>
          <w:rtl/>
        </w:rPr>
        <w:t xml:space="preserve"> بيروت : 1999، دار الكتب العلمية، ج3 </w:t>
      </w:r>
      <w:r>
        <w:rPr>
          <w:rFonts w:cs="Traditional Arabic"/>
          <w:sz w:val="24"/>
          <w:szCs w:val="24"/>
          <w:rtl/>
          <w:lang w:bidi="ar-DZ"/>
        </w:rPr>
        <w:t>، مادة (سند).</w:t>
      </w:r>
    </w:p>
  </w:footnote>
  <w:footnote w:id="9">
    <w:p w:rsidR="00EA278A" w:rsidRDefault="00EA278A" w:rsidP="00EA278A">
      <w:pPr>
        <w:pStyle w:val="Notedebasdepage"/>
        <w:jc w:val="both"/>
        <w:rPr>
          <w:rFonts w:cs="Traditional Arabic"/>
          <w:sz w:val="24"/>
          <w:szCs w:val="24"/>
          <w:rtl/>
          <w:lang w:bidi="ar-DZ"/>
        </w:rPr>
      </w:pPr>
      <w:r>
        <w:rPr>
          <w:rStyle w:val="Appelnotedebasdep"/>
          <w:rtl/>
        </w:rPr>
        <w:t>5</w:t>
      </w:r>
      <w:r>
        <w:rPr>
          <w:rFonts w:hint="cs"/>
          <w:rtl/>
        </w:rPr>
        <w:t xml:space="preserve"> </w:t>
      </w:r>
      <w:r>
        <w:rPr>
          <w:rFonts w:cs="Traditional Arabic"/>
          <w:sz w:val="24"/>
          <w:szCs w:val="24"/>
          <w:lang w:val="fr-FR"/>
        </w:rPr>
        <w:t xml:space="preserve">- </w:t>
      </w:r>
      <w:r>
        <w:rPr>
          <w:rFonts w:cs="Traditional Arabic"/>
          <w:sz w:val="24"/>
          <w:szCs w:val="24"/>
          <w:rtl/>
          <w:lang w:bidi="ar-DZ"/>
        </w:rPr>
        <w:t>معجم اللغة العربية، المعجم الوسيط مادة (سند)</w:t>
      </w:r>
    </w:p>
  </w:footnote>
  <w:footnote w:id="10">
    <w:p w:rsidR="00EA278A" w:rsidRDefault="00EA278A" w:rsidP="00EA278A">
      <w:pPr>
        <w:pStyle w:val="Notedebasdepage"/>
        <w:jc w:val="both"/>
        <w:rPr>
          <w:rFonts w:cs="Traditional Arabic"/>
          <w:sz w:val="24"/>
          <w:szCs w:val="24"/>
          <w:rtl/>
          <w:lang w:bidi="ar-DZ"/>
        </w:rPr>
      </w:pPr>
      <w:r>
        <w:rPr>
          <w:rStyle w:val="Appelnotedebasdep"/>
          <w:rtl/>
        </w:rPr>
        <w:t>6</w:t>
      </w:r>
      <w:r>
        <w:rPr>
          <w:rFonts w:hint="cs"/>
          <w:rtl/>
        </w:rPr>
        <w:t xml:space="preserve"> </w:t>
      </w:r>
      <w:r>
        <w:rPr>
          <w:rFonts w:cs="Traditional Arabic"/>
          <w:sz w:val="24"/>
          <w:szCs w:val="24"/>
          <w:lang w:val="fr-FR"/>
        </w:rPr>
        <w:t xml:space="preserve">- </w:t>
      </w:r>
      <w:r>
        <w:rPr>
          <w:rFonts w:cs="Traditional Arabic"/>
          <w:sz w:val="24"/>
          <w:szCs w:val="24"/>
          <w:rtl/>
          <w:lang w:bidi="ar-DZ"/>
        </w:rPr>
        <w:t>الجرجاني، التعريفات، ص 51.</w:t>
      </w:r>
    </w:p>
  </w:footnote>
  <w:footnote w:id="11">
    <w:p w:rsidR="00EA278A" w:rsidRDefault="00EA278A" w:rsidP="00EA278A">
      <w:pPr>
        <w:pStyle w:val="Notedebasdepage"/>
        <w:jc w:val="both"/>
        <w:rPr>
          <w:rFonts w:cs="Traditional Arabic"/>
          <w:sz w:val="24"/>
          <w:szCs w:val="24"/>
          <w:rtl/>
          <w:lang w:bidi="ar-DZ"/>
        </w:rPr>
      </w:pPr>
      <w:r>
        <w:rPr>
          <w:rStyle w:val="Appelnotedebasdep"/>
          <w:rtl/>
        </w:rPr>
        <w:t>1</w:t>
      </w:r>
      <w:r>
        <w:rPr>
          <w:rFonts w:hint="cs"/>
          <w:rtl/>
        </w:rPr>
        <w:t xml:space="preserve"> </w:t>
      </w:r>
      <w:r>
        <w:rPr>
          <w:rFonts w:cs="Traditional Arabic"/>
          <w:sz w:val="24"/>
          <w:szCs w:val="24"/>
          <w:lang w:val="fr-FR"/>
        </w:rPr>
        <w:t xml:space="preserve">- </w:t>
      </w:r>
      <w:r>
        <w:rPr>
          <w:rFonts w:cs="Traditional Arabic"/>
          <w:sz w:val="24"/>
          <w:szCs w:val="24"/>
          <w:rtl/>
          <w:lang w:bidi="ar-DZ"/>
        </w:rPr>
        <w:t>المرجع نفسه، ص 51.</w:t>
      </w:r>
    </w:p>
  </w:footnote>
  <w:footnote w:id="12">
    <w:p w:rsidR="00EA278A" w:rsidRDefault="00EA278A" w:rsidP="00EA278A">
      <w:pPr>
        <w:pStyle w:val="Notedebasdepage"/>
        <w:jc w:val="both"/>
        <w:rPr>
          <w:rFonts w:cs="Traditional Arabic"/>
          <w:sz w:val="24"/>
          <w:szCs w:val="24"/>
          <w:rtl/>
          <w:lang w:bidi="ar-DZ"/>
        </w:rPr>
      </w:pPr>
      <w:r>
        <w:rPr>
          <w:rStyle w:val="Appelnotedebasdep"/>
          <w:rtl/>
        </w:rPr>
        <w:t>2</w:t>
      </w:r>
      <w:r>
        <w:rPr>
          <w:rFonts w:cs="Traditional Arabic" w:hint="cs"/>
          <w:sz w:val="24"/>
          <w:szCs w:val="24"/>
        </w:rPr>
        <w:t xml:space="preserve"> </w:t>
      </w:r>
      <w:r>
        <w:rPr>
          <w:rFonts w:cs="Traditional Arabic"/>
          <w:sz w:val="24"/>
          <w:szCs w:val="24"/>
          <w:rtl/>
        </w:rPr>
        <w:t>-</w:t>
      </w:r>
      <w:r>
        <w:rPr>
          <w:rFonts w:cs="Traditional Arabic"/>
          <w:sz w:val="24"/>
          <w:szCs w:val="24"/>
          <w:rtl/>
          <w:lang w:bidi="ar-DZ"/>
        </w:rPr>
        <w:t>تمام حسان، اللغة العربية معناها ومبناها ، ص 193.</w:t>
      </w:r>
    </w:p>
  </w:footnote>
  <w:footnote w:id="13">
    <w:p w:rsidR="00EA278A" w:rsidRDefault="00EA278A" w:rsidP="00EA278A">
      <w:pPr>
        <w:pStyle w:val="Notedebasdepage"/>
        <w:jc w:val="both"/>
        <w:rPr>
          <w:rFonts w:cs="Traditional Arabic"/>
          <w:sz w:val="24"/>
          <w:szCs w:val="24"/>
          <w:rtl/>
          <w:lang w:bidi="ar-DZ"/>
        </w:rPr>
      </w:pPr>
      <w:r>
        <w:rPr>
          <w:rStyle w:val="Appelnotedebasdep"/>
          <w:rtl/>
        </w:rPr>
        <w:t>3</w:t>
      </w:r>
      <w:r>
        <w:rPr>
          <w:rFonts w:hint="cs"/>
          <w:rtl/>
        </w:rPr>
        <w:t xml:space="preserve">  </w:t>
      </w:r>
      <w:r>
        <w:rPr>
          <w:rFonts w:cs="Traditional Arabic"/>
          <w:sz w:val="24"/>
          <w:szCs w:val="24"/>
          <w:lang w:val="fr-FR" w:bidi="ar-DZ"/>
        </w:rPr>
        <w:t>-</w:t>
      </w:r>
      <w:r>
        <w:rPr>
          <w:rFonts w:cs="Traditional Arabic"/>
          <w:sz w:val="24"/>
          <w:szCs w:val="24"/>
          <w:lang w:val="fr-FR"/>
        </w:rPr>
        <w:t xml:space="preserve"> </w:t>
      </w:r>
      <w:r>
        <w:rPr>
          <w:rFonts w:cs="Traditional Arabic"/>
          <w:sz w:val="24"/>
          <w:szCs w:val="24"/>
          <w:rtl/>
          <w:lang w:bidi="ar-DZ"/>
        </w:rPr>
        <w:t>المرجع نفسه، ص 194.</w:t>
      </w:r>
    </w:p>
  </w:footnote>
  <w:footnote w:id="14">
    <w:p w:rsidR="00EA278A" w:rsidRDefault="00EA278A" w:rsidP="00EA278A">
      <w:pPr>
        <w:pStyle w:val="Notedebasdepage"/>
        <w:jc w:val="both"/>
        <w:rPr>
          <w:rFonts w:cs="Traditional Arabic"/>
          <w:sz w:val="24"/>
          <w:szCs w:val="24"/>
          <w:rtl/>
          <w:lang w:bidi="ar-DZ"/>
        </w:rPr>
      </w:pPr>
      <w:r>
        <w:rPr>
          <w:rStyle w:val="Appelnotedebasdep"/>
          <w:rtl/>
        </w:rPr>
        <w:t>4</w:t>
      </w:r>
      <w:r>
        <w:rPr>
          <w:rFonts w:cs="Traditional Arabic" w:hint="cs"/>
          <w:sz w:val="24"/>
          <w:szCs w:val="24"/>
        </w:rPr>
        <w:t xml:space="preserve"> </w:t>
      </w:r>
      <w:r>
        <w:rPr>
          <w:rFonts w:cs="Traditional Arabic"/>
          <w:sz w:val="24"/>
          <w:szCs w:val="24"/>
          <w:rtl/>
          <w:lang w:bidi="ar-DZ"/>
        </w:rPr>
        <w:t>- السيوطي، شرح عقود الجمان في علم المعاني والبيان، دار الفكر للطباعة والنشر والتوزيع، ص 11.</w:t>
      </w:r>
    </w:p>
  </w:footnote>
  <w:footnote w:id="15">
    <w:p w:rsidR="00EA278A" w:rsidRDefault="00EA278A" w:rsidP="00EA278A">
      <w:pPr>
        <w:pStyle w:val="Notedebasdepage"/>
        <w:jc w:val="both"/>
        <w:rPr>
          <w:rFonts w:cs="Traditional Arabic"/>
          <w:sz w:val="24"/>
          <w:szCs w:val="24"/>
          <w:rtl/>
          <w:lang w:bidi="ar-DZ"/>
        </w:rPr>
      </w:pPr>
      <w:r>
        <w:rPr>
          <w:rStyle w:val="Appelnotedebasdep"/>
          <w:rtl/>
        </w:rPr>
        <w:t>5</w:t>
      </w:r>
      <w:r>
        <w:rPr>
          <w:rFonts w:hint="cs"/>
          <w:rtl/>
        </w:rPr>
        <w:t xml:space="preserve">  </w:t>
      </w:r>
      <w:r>
        <w:rPr>
          <w:rFonts w:cs="Traditional Arabic"/>
          <w:sz w:val="24"/>
          <w:szCs w:val="24"/>
          <w:lang w:val="fr-FR"/>
        </w:rPr>
        <w:t xml:space="preserve">- </w:t>
      </w:r>
      <w:r>
        <w:rPr>
          <w:rFonts w:cs="Traditional Arabic"/>
          <w:sz w:val="24"/>
          <w:szCs w:val="24"/>
          <w:rtl/>
          <w:lang w:bidi="ar-DZ"/>
        </w:rPr>
        <w:t>عبد القاهر الجرجاني، دلائل الإعجاز في علم المعاني، صيدا، بيروت: 1991، دار الجيل، ص 60.</w:t>
      </w:r>
    </w:p>
  </w:footnote>
  <w:footnote w:id="16">
    <w:p w:rsidR="00EA278A" w:rsidRDefault="00EA278A" w:rsidP="00EA278A">
      <w:pPr>
        <w:pStyle w:val="Notedebasdepage"/>
        <w:jc w:val="both"/>
        <w:rPr>
          <w:rFonts w:cs="Traditional Arabic"/>
          <w:sz w:val="24"/>
          <w:szCs w:val="24"/>
          <w:rtl/>
          <w:lang w:bidi="ar-DZ"/>
        </w:rPr>
      </w:pPr>
      <w:r>
        <w:rPr>
          <w:rStyle w:val="Appelnotedebasdep"/>
          <w:rtl/>
        </w:rPr>
        <w:t>6</w:t>
      </w:r>
      <w:r>
        <w:rPr>
          <w:rFonts w:cs="Traditional Arabic" w:hint="cs"/>
          <w:sz w:val="24"/>
          <w:szCs w:val="24"/>
        </w:rPr>
        <w:t xml:space="preserve"> </w:t>
      </w:r>
      <w:r>
        <w:rPr>
          <w:rFonts w:cs="Traditional Arabic"/>
          <w:sz w:val="24"/>
          <w:szCs w:val="24"/>
          <w:rtl/>
        </w:rPr>
        <w:t>-</w:t>
      </w:r>
      <w:r>
        <w:rPr>
          <w:rFonts w:cs="Traditional Arabic"/>
          <w:sz w:val="24"/>
          <w:szCs w:val="24"/>
          <w:rtl/>
          <w:lang w:bidi="ar-DZ"/>
        </w:rPr>
        <w:t>سيبويه، الكتاب، الجزء الأول، ص 23.</w:t>
      </w:r>
    </w:p>
  </w:footnote>
  <w:footnote w:id="17">
    <w:p w:rsidR="00EA278A" w:rsidRDefault="00EA278A" w:rsidP="00EA278A">
      <w:pPr>
        <w:pStyle w:val="Notedebasdepage"/>
        <w:jc w:val="both"/>
        <w:rPr>
          <w:rFonts w:cs="Traditional Arabic"/>
          <w:sz w:val="24"/>
          <w:szCs w:val="24"/>
          <w:rtl/>
          <w:lang w:bidi="ar-DZ"/>
        </w:rPr>
      </w:pPr>
      <w:r>
        <w:rPr>
          <w:rStyle w:val="Appelnotedebasdep"/>
          <w:rFonts w:hint="cs"/>
          <w:rtl/>
        </w:rPr>
        <w:t>1</w:t>
      </w:r>
      <w:r>
        <w:rPr>
          <w:rFonts w:cs="Traditional Arabic"/>
          <w:sz w:val="24"/>
          <w:szCs w:val="24"/>
          <w:lang w:val="fr-FR"/>
        </w:rPr>
        <w:t xml:space="preserve">- </w:t>
      </w:r>
      <w:r>
        <w:rPr>
          <w:rFonts w:cs="Traditional Arabic"/>
          <w:sz w:val="24"/>
          <w:szCs w:val="24"/>
          <w:rtl/>
          <w:lang w:bidi="ar-DZ"/>
        </w:rPr>
        <w:t>فاضل صالح السامرائي، الجملة العربية تأليفها وأقسامها، الطبعة الأولى، عمان: 2002، دار الفكر للطباعة والنشر والتوزيع، ص 27.</w:t>
      </w:r>
    </w:p>
  </w:footnote>
  <w:footnote w:id="18">
    <w:p w:rsidR="00EA278A" w:rsidRDefault="00EA278A" w:rsidP="00EA278A">
      <w:pPr>
        <w:pStyle w:val="Notedebasdepage"/>
        <w:jc w:val="both"/>
        <w:rPr>
          <w:rFonts w:cs="Traditional Arabic"/>
          <w:sz w:val="24"/>
          <w:szCs w:val="24"/>
          <w:rtl/>
          <w:lang w:bidi="ar-DZ"/>
        </w:rPr>
      </w:pPr>
      <w:r>
        <w:rPr>
          <w:rStyle w:val="Appelnotedebasdep"/>
          <w:rFonts w:hint="cs"/>
          <w:rtl/>
        </w:rPr>
        <w:t>2</w:t>
      </w:r>
      <w:r>
        <w:rPr>
          <w:rFonts w:cs="Traditional Arabic"/>
          <w:sz w:val="24"/>
          <w:szCs w:val="24"/>
          <w:lang w:val="fr-FR"/>
        </w:rPr>
        <w:t xml:space="preserve">- </w:t>
      </w:r>
      <w:r>
        <w:rPr>
          <w:rFonts w:cs="Traditional Arabic"/>
          <w:sz w:val="24"/>
          <w:szCs w:val="24"/>
          <w:rtl/>
          <w:lang w:bidi="ar-DZ"/>
        </w:rPr>
        <w:t>ينظر</w:t>
      </w:r>
      <w:r>
        <w:rPr>
          <w:rFonts w:cs="Traditional Arabic" w:hint="cs"/>
          <w:sz w:val="24"/>
          <w:szCs w:val="24"/>
          <w:rtl/>
          <w:lang w:bidi="ar-DZ"/>
        </w:rPr>
        <w:t>:</w:t>
      </w:r>
      <w:r>
        <w:rPr>
          <w:rFonts w:cs="Traditional Arabic"/>
          <w:sz w:val="24"/>
          <w:szCs w:val="24"/>
          <w:rtl/>
          <w:lang w:bidi="ar-DZ"/>
        </w:rPr>
        <w:t xml:space="preserve"> المرجع نفسه ،ص : 26 .</w:t>
      </w:r>
    </w:p>
  </w:footnote>
  <w:footnote w:id="19">
    <w:p w:rsidR="00EA278A" w:rsidRDefault="00EA278A" w:rsidP="00EA278A">
      <w:pPr>
        <w:pStyle w:val="Notedebasdepage"/>
      </w:pPr>
      <w:r>
        <w:rPr>
          <w:rStyle w:val="Appelnotedebasdep"/>
          <w:rtl/>
        </w:rPr>
        <w:t>1</w:t>
      </w:r>
      <w:r>
        <w:rPr>
          <w:rtl/>
        </w:rPr>
        <w:t xml:space="preserve"> </w:t>
      </w:r>
      <w:r>
        <w:rPr>
          <w:rFonts w:hint="cs"/>
          <w:rtl/>
        </w:rPr>
        <w:t xml:space="preserve">- </w:t>
      </w:r>
      <w:r>
        <w:rPr>
          <w:rFonts w:cs="Traditional Arabic"/>
          <w:sz w:val="24"/>
          <w:szCs w:val="24"/>
          <w:rtl/>
          <w:lang w:bidi="ar-DZ"/>
        </w:rPr>
        <w:t>سيبويه، الكتاب، الجزء الأول، ص 13.</w:t>
      </w:r>
    </w:p>
  </w:footnote>
  <w:footnote w:id="20">
    <w:p w:rsidR="00EA278A" w:rsidRDefault="00EA278A" w:rsidP="00EA278A">
      <w:pPr>
        <w:pStyle w:val="Notedebasdepage"/>
        <w:jc w:val="both"/>
        <w:rPr>
          <w:rFonts w:cs="Traditional Arabic"/>
          <w:sz w:val="24"/>
          <w:szCs w:val="24"/>
          <w:rtl/>
          <w:lang w:bidi="ar-DZ"/>
        </w:rPr>
      </w:pPr>
    </w:p>
  </w:footnote>
  <w:footnote w:id="21">
    <w:p w:rsidR="00EA278A" w:rsidRDefault="00EA278A" w:rsidP="00EA278A">
      <w:pPr>
        <w:pStyle w:val="Notedebasdepage"/>
        <w:jc w:val="both"/>
        <w:rPr>
          <w:rFonts w:cs="Traditional Arabic"/>
          <w:sz w:val="24"/>
          <w:szCs w:val="24"/>
          <w:rtl/>
        </w:rPr>
      </w:pPr>
      <w:r>
        <w:rPr>
          <w:rStyle w:val="Appelnotedebasdep"/>
          <w:rtl/>
        </w:rPr>
        <w:t>2</w:t>
      </w:r>
      <w:r>
        <w:rPr>
          <w:rFonts w:hint="cs"/>
          <w:rtl/>
        </w:rPr>
        <w:t xml:space="preserve"> </w:t>
      </w:r>
      <w:r>
        <w:rPr>
          <w:rFonts w:cs="Traditional Arabic"/>
          <w:sz w:val="24"/>
          <w:szCs w:val="24"/>
          <w:lang w:val="fr-FR"/>
        </w:rPr>
        <w:t xml:space="preserve">- </w:t>
      </w:r>
      <w:r>
        <w:rPr>
          <w:rFonts w:cs="Traditional Arabic"/>
          <w:sz w:val="24"/>
          <w:szCs w:val="24"/>
          <w:rtl/>
          <w:lang w:bidi="ar-DZ"/>
        </w:rPr>
        <w:t>إبراهيم مصطفى، إحياء النحو، الطبعة الثانية، القاهرة: 1992، دار الكتاب الإسلامي، ص 50</w:t>
      </w:r>
      <w:r>
        <w:rPr>
          <w:rFonts w:cs="Traditional Arabic"/>
          <w:sz w:val="24"/>
          <w:szCs w:val="24"/>
          <w:rtl/>
        </w:rPr>
        <w:t>.</w:t>
      </w:r>
    </w:p>
  </w:footnote>
  <w:footnote w:id="22">
    <w:p w:rsidR="00EA278A" w:rsidRDefault="00EA278A" w:rsidP="00EA278A">
      <w:pPr>
        <w:pStyle w:val="Notedebasdepage"/>
        <w:jc w:val="both"/>
        <w:rPr>
          <w:rFonts w:cs="Traditional Arabic"/>
          <w:sz w:val="24"/>
          <w:szCs w:val="24"/>
          <w:rtl/>
          <w:lang w:bidi="ar-DZ"/>
        </w:rPr>
      </w:pPr>
      <w:r>
        <w:rPr>
          <w:rStyle w:val="Appelnotedebasdep"/>
          <w:rtl/>
        </w:rPr>
        <w:t>3</w:t>
      </w:r>
      <w:r>
        <w:rPr>
          <w:rFonts w:hint="cs"/>
          <w:rtl/>
        </w:rPr>
        <w:t xml:space="preserve"> </w:t>
      </w:r>
      <w:r>
        <w:rPr>
          <w:rFonts w:cs="Traditional Arabic"/>
          <w:sz w:val="24"/>
          <w:szCs w:val="24"/>
          <w:lang w:val="fr-FR"/>
        </w:rPr>
        <w:t xml:space="preserve">- </w:t>
      </w:r>
      <w:r>
        <w:rPr>
          <w:rFonts w:cs="Traditional Arabic"/>
          <w:sz w:val="24"/>
          <w:szCs w:val="24"/>
          <w:rtl/>
          <w:lang w:bidi="ar-DZ"/>
        </w:rPr>
        <w:t>الشريف ميهوبي "المسند إليه والمسند في العربية" مجلة العلوم الاجتماعية والإنسانية، جامعة باتنة: 2002، العدد 6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278A"/>
    <w:rsid w:val="00112A48"/>
    <w:rsid w:val="008E37E7"/>
    <w:rsid w:val="00EA27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8A"/>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A278A"/>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EA278A"/>
    <w:rPr>
      <w:rFonts w:ascii="Times New Roman" w:eastAsia="Times New Roman" w:hAnsi="Times New Roman" w:cs="Times New Roman"/>
      <w:sz w:val="20"/>
      <w:szCs w:val="20"/>
      <w:lang w:val="en-US"/>
    </w:rPr>
  </w:style>
  <w:style w:type="character" w:styleId="Appelnotedebasdep">
    <w:name w:val="footnote reference"/>
    <w:basedOn w:val="Policepardfaut"/>
    <w:semiHidden/>
    <w:unhideWhenUsed/>
    <w:rsid w:val="00EA27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5656</Characters>
  <Application>Microsoft Office Word</Application>
  <DocSecurity>0</DocSecurity>
  <Lines>47</Lines>
  <Paragraphs>13</Paragraphs>
  <ScaleCrop>false</ScaleCrop>
  <Company>Msila</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Faculte LL</dc:creator>
  <cp:keywords/>
  <dc:description/>
  <cp:lastModifiedBy>Faculte LL</cp:lastModifiedBy>
  <cp:revision>1</cp:revision>
  <dcterms:created xsi:type="dcterms:W3CDTF">2018-01-08T08:15:00Z</dcterms:created>
  <dcterms:modified xsi:type="dcterms:W3CDTF">2018-01-08T08:15:00Z</dcterms:modified>
</cp:coreProperties>
</file>