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AB" w:rsidRPr="00ED7C90" w:rsidRDefault="00A76EAB" w:rsidP="00A76EAB">
      <w:pPr>
        <w:jc w:val="center"/>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المحاضرة الثا</w:t>
      </w:r>
      <w:r>
        <w:rPr>
          <w:rFonts w:ascii="Simplified Arabic" w:hAnsi="Simplified Arabic" w:cs="Simplified Arabic" w:hint="cs"/>
          <w:b/>
          <w:bCs/>
          <w:sz w:val="32"/>
          <w:szCs w:val="32"/>
          <w:rtl/>
          <w:lang w:bidi="ar-DZ"/>
        </w:rPr>
        <w:t>لثة</w:t>
      </w:r>
      <w:r w:rsidRPr="00CF7AE8">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المسند إليه في الجملة الاسمية(المبتدأ)</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b/>
          <w:bCs/>
          <w:sz w:val="32"/>
          <w:szCs w:val="32"/>
          <w:rtl/>
          <w:lang w:bidi="ar-DZ"/>
        </w:rPr>
        <w:t xml:space="preserve">المبتدأ: </w:t>
      </w:r>
      <w:r w:rsidRPr="00CF7AE8">
        <w:rPr>
          <w:rFonts w:ascii="Simplified Arabic" w:hAnsi="Simplified Arabic" w:cs="Simplified Arabic"/>
          <w:sz w:val="32"/>
          <w:szCs w:val="32"/>
          <w:rtl/>
          <w:lang w:bidi="ar-DZ"/>
        </w:rPr>
        <w:t>اسم مرفوع يذكر غالبا في أول الجملة الاسمية للدلالة على أن حكما سينسب إليه، وتتم معه الفائدة من الكلام، وقد عرفه سيبويه بأنه: «كل اسم ابتدئ ليبنى عليه كلام،... فالمبتدأ الأول والمبنى ما بعده عليه، فهو مسند ومسند إليه ».</w:t>
      </w:r>
      <w:r w:rsidRPr="00CF7AE8">
        <w:rPr>
          <w:rStyle w:val="Appelnotedebasdep"/>
          <w:rFonts w:ascii="Simplified Arabic" w:hAnsi="Simplified Arabic" w:cs="Simplified Arabic"/>
          <w:sz w:val="32"/>
          <w:szCs w:val="32"/>
          <w:rtl/>
          <w:lang w:bidi="ar-DZ"/>
        </w:rPr>
        <w:footnoteReference w:id="2"/>
      </w:r>
      <w:r w:rsidRPr="00CF7AE8">
        <w:rPr>
          <w:rFonts w:ascii="Simplified Arabic" w:hAnsi="Simplified Arabic" w:cs="Simplified Arabic"/>
          <w:sz w:val="32"/>
          <w:szCs w:val="32"/>
          <w:rtl/>
          <w:lang w:bidi="ar-DZ"/>
        </w:rPr>
        <w:t xml:space="preserve"> فهو في رأيه كل اسم تبتدئ به الجملة الاسمية ليبنى عليه الخبر فهما معا مكونان لها. ويذهب عبد القاهر الجرجاني (471هـ) مذهبا خاصا في سبب إطلاق تسمية المبتدأ على الاسم الأول في الكلام، إذ قـال: « إن المبتدأ لم يكن مبتدأ لأنه منطوق به أولا، ولا كان الخبر خبرا لأنه مذكور بعد المبتدأ، بل كان المبتــدأ مبتدأ لأنه كان مسند إليه، ومثْبت به المعنى، والخبر خبرا لأنه مسند ومثَبَّت به المعنى ».</w:t>
      </w:r>
      <w:r w:rsidRPr="00CF7AE8">
        <w:rPr>
          <w:rStyle w:val="Appelnotedebasdep"/>
          <w:rFonts w:ascii="Simplified Arabic" w:hAnsi="Simplified Arabic" w:cs="Simplified Arabic"/>
          <w:sz w:val="32"/>
          <w:szCs w:val="32"/>
          <w:rtl/>
          <w:lang w:bidi="ar-DZ"/>
        </w:rPr>
        <w:footnoteReference w:id="3"/>
      </w:r>
      <w:r w:rsidRPr="00CF7AE8">
        <w:rPr>
          <w:rFonts w:ascii="Simplified Arabic" w:hAnsi="Simplified Arabic" w:cs="Simplified Arabic"/>
          <w:sz w:val="32"/>
          <w:szCs w:val="32"/>
          <w:rtl/>
          <w:lang w:bidi="ar-DZ"/>
        </w:rPr>
        <w:t>وفي هذا القول يشير الجرجاني إلى أن المبتدأ لم يأخذ هذه التسمية لكونه صدر الجملة الاسمية، ولكن من كونه مسنــد إليه في الكلام، ومتحدث عنه والمبتدأ مرفوع بالابتداء أي: « تعرية الاسم من العوامل اللفظية للإسناد ».</w:t>
      </w:r>
      <w:r w:rsidRPr="00CF7AE8">
        <w:rPr>
          <w:rStyle w:val="Appelnotedebasdep"/>
          <w:rFonts w:ascii="Simplified Arabic" w:hAnsi="Simplified Arabic" w:cs="Simplified Arabic"/>
          <w:sz w:val="32"/>
          <w:szCs w:val="32"/>
          <w:rtl/>
          <w:lang w:bidi="ar-DZ"/>
        </w:rPr>
        <w:footnoteReference w:id="4"/>
      </w:r>
      <w:r w:rsidRPr="00CF7AE8">
        <w:rPr>
          <w:rFonts w:ascii="Simplified Arabic" w:hAnsi="Simplified Arabic" w:cs="Simplified Arabic"/>
          <w:sz w:val="32"/>
          <w:szCs w:val="32"/>
          <w:rtl/>
          <w:lang w:bidi="ar-DZ"/>
        </w:rPr>
        <w:t xml:space="preserve"> فالابتداء هو عامل معنوي-لا يذكر لفظا- يجلب الرفع لكل كلمة محكـــوم عليها بالخبر في أي موقع كان، وهو يتحقق في لفظ الأستاذ من قولنا: " الأستاذ في القسم"  أو" في الــقسم الأستاذ" والمبتدأ « اسم مجرد من العوامل اللفظية » </w:t>
      </w:r>
      <w:r w:rsidRPr="00CF7AE8">
        <w:rPr>
          <w:rStyle w:val="Appelnotedebasdep"/>
          <w:rFonts w:ascii="Simplified Arabic" w:hAnsi="Simplified Arabic" w:cs="Simplified Arabic"/>
          <w:sz w:val="32"/>
          <w:szCs w:val="32"/>
          <w:rtl/>
          <w:lang w:bidi="ar-DZ"/>
        </w:rPr>
        <w:footnoteReference w:id="5"/>
      </w:r>
      <w:r w:rsidRPr="00CF7AE8">
        <w:rPr>
          <w:rFonts w:ascii="Simplified Arabic" w:hAnsi="Simplified Arabic" w:cs="Simplified Arabic"/>
          <w:sz w:val="32"/>
          <w:szCs w:val="32"/>
          <w:rtl/>
          <w:lang w:bidi="ar-DZ"/>
        </w:rPr>
        <w:t xml:space="preserve"> أي هو كل اسم مرفوع في أول الجملة الاسمية خال من العوامل اللفظية التي تدخل على الكلمة فتؤثر في آخرها بالرفع، أو النصب، أو الجـر.</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أنواع المبتدأ: </w:t>
      </w:r>
      <w:r w:rsidRPr="00CF7AE8">
        <w:rPr>
          <w:rFonts w:ascii="Simplified Arabic" w:hAnsi="Simplified Arabic" w:cs="Simplified Arabic"/>
          <w:sz w:val="32"/>
          <w:szCs w:val="32"/>
          <w:rtl/>
          <w:lang w:bidi="ar-DZ"/>
        </w:rPr>
        <w:t>يقسم المبتدأ إلى نوعين:</w:t>
      </w:r>
    </w:p>
    <w:p w:rsidR="00A76EAB" w:rsidRPr="00ED7C90" w:rsidRDefault="00A76EAB" w:rsidP="00A76EAB">
      <w:pPr>
        <w:numPr>
          <w:ilvl w:val="0"/>
          <w:numId w:val="1"/>
        </w:numPr>
        <w:spacing w:after="0" w:line="240" w:lineRule="auto"/>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lastRenderedPageBreak/>
        <w:t>الصريح:</w:t>
      </w:r>
      <w:r w:rsidRPr="00CF7AE8">
        <w:rPr>
          <w:rFonts w:ascii="Simplified Arabic" w:hAnsi="Simplified Arabic" w:cs="Simplified Arabic"/>
          <w:sz w:val="32"/>
          <w:szCs w:val="32"/>
          <w:rtl/>
          <w:lang w:bidi="ar-DZ"/>
        </w:rPr>
        <w:t xml:space="preserve"> والمراد بالصريح ذلك الاسم المصرح بــه، والــ</w:t>
      </w:r>
      <w:r>
        <w:rPr>
          <w:rFonts w:ascii="Simplified Arabic" w:hAnsi="Simplified Arabic" w:cs="Simplified Arabic"/>
          <w:sz w:val="32"/>
          <w:szCs w:val="32"/>
          <w:rtl/>
          <w:lang w:bidi="ar-DZ"/>
        </w:rPr>
        <w:t>ظاهر في لفظه، والــذي لا</w:t>
      </w:r>
      <w:r>
        <w:rPr>
          <w:rFonts w:ascii="Simplified Arabic" w:hAnsi="Simplified Arabic" w:cs="Simplified Arabic" w:hint="cs"/>
          <w:sz w:val="32"/>
          <w:szCs w:val="32"/>
          <w:rtl/>
          <w:lang w:bidi="ar-DZ"/>
        </w:rPr>
        <w:t xml:space="preserve"> </w:t>
      </w:r>
      <w:r w:rsidRPr="00CF7AE8">
        <w:rPr>
          <w:rFonts w:ascii="Simplified Arabic" w:hAnsi="Simplified Arabic" w:cs="Simplified Arabic"/>
          <w:sz w:val="32"/>
          <w:szCs w:val="32"/>
          <w:rtl/>
          <w:lang w:bidi="ar-DZ"/>
        </w:rPr>
        <w:t>يحــتاج إلى تأويل نحو قولنا: (الطالبُ مجدُ) فالطالب</w:t>
      </w:r>
      <w:r w:rsidRPr="00CF7AE8">
        <w:rPr>
          <w:rFonts w:ascii="Simplified Arabic" w:hAnsi="Simplified Arabic" w:cs="Simplified Arabic"/>
          <w:b/>
          <w:bCs/>
          <w:sz w:val="32"/>
          <w:szCs w:val="32"/>
          <w:rtl/>
          <w:lang w:bidi="ar-DZ"/>
        </w:rPr>
        <w:t xml:space="preserve">: </w:t>
      </w:r>
      <w:r w:rsidRPr="00CF7AE8">
        <w:rPr>
          <w:rFonts w:ascii="Simplified Arabic" w:hAnsi="Simplified Arabic" w:cs="Simplified Arabic"/>
          <w:sz w:val="32"/>
          <w:szCs w:val="32"/>
          <w:rtl/>
          <w:lang w:bidi="ar-DZ"/>
        </w:rPr>
        <w:t>مبتدأ وهو اسم مــصرح به، ولا يحتــاج إلى تأويل،</w:t>
      </w:r>
      <w:r>
        <w:rPr>
          <w:rFonts w:ascii="Simplified Arabic" w:hAnsi="Simplified Arabic" w:cs="Simplified Arabic"/>
          <w:sz w:val="32"/>
          <w:szCs w:val="32"/>
          <w:rtl/>
          <w:lang w:bidi="ar-DZ"/>
        </w:rPr>
        <w:t xml:space="preserve"> وهو ينقسم إلى نوعــــــين: نوع« يحتاج إلى خــــبر حتما</w:t>
      </w:r>
      <w:r w:rsidRPr="00CF7AE8">
        <w:rPr>
          <w:rFonts w:ascii="Simplified Arabic" w:hAnsi="Simplified Arabic" w:cs="Simplified Arabic"/>
          <w:sz w:val="32"/>
          <w:szCs w:val="32"/>
          <w:rtl/>
          <w:lang w:bidi="ar-DZ"/>
        </w:rPr>
        <w:t>»</w:t>
      </w:r>
      <w:r w:rsidRPr="00CF7AE8">
        <w:rPr>
          <w:rStyle w:val="Appelnotedebasdep"/>
          <w:rFonts w:ascii="Simplified Arabic" w:hAnsi="Simplified Arabic" w:cs="Simplified Arabic"/>
          <w:sz w:val="32"/>
          <w:szCs w:val="32"/>
          <w:rtl/>
          <w:lang w:bidi="ar-DZ"/>
        </w:rPr>
        <w:footnoteReference w:id="6"/>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ن</w:t>
      </w:r>
      <w:r>
        <w:rPr>
          <w:rFonts w:ascii="Simplified Arabic" w:hAnsi="Simplified Arabic" w:cs="Simplified Arabic"/>
          <w:sz w:val="32"/>
          <w:szCs w:val="32"/>
          <w:rtl/>
          <w:lang w:bidi="ar-DZ"/>
        </w:rPr>
        <w:t>حـــو:(الصوم جنـــةٌ)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والثـاني«</w:t>
      </w:r>
      <w:r w:rsidRPr="00CF7AE8">
        <w:rPr>
          <w:rFonts w:ascii="Simplified Arabic" w:hAnsi="Simplified Arabic" w:cs="Simplified Arabic"/>
          <w:sz w:val="32"/>
          <w:szCs w:val="32"/>
          <w:rtl/>
          <w:lang w:bidi="ar-DZ"/>
        </w:rPr>
        <w:t>لا يحتاج إلى خبر، وإنما يحتاج إلى مرفوع بعده يعرب فاعلا أو نائب فاعــل »</w:t>
      </w:r>
      <w:r>
        <w:rPr>
          <w:rStyle w:val="Appelnotedebasdep"/>
          <w:rFonts w:ascii="Simplified Arabic" w:hAnsi="Simplified Arabic" w:cs="Simplified Arabic"/>
          <w:sz w:val="32"/>
          <w:szCs w:val="32"/>
          <w:rtl/>
          <w:lang w:bidi="ar-DZ"/>
        </w:rPr>
        <w:footnoteReference w:customMarkFollows="1" w:id="7"/>
        <w:t>1</w:t>
      </w:r>
      <w:r w:rsidRPr="00CF7AE8">
        <w:rPr>
          <w:rFonts w:ascii="Simplified Arabic" w:hAnsi="Simplified Arabic" w:cs="Simplified Arabic"/>
          <w:sz w:val="32"/>
          <w:szCs w:val="32"/>
          <w:rtl/>
          <w:lang w:bidi="ar-DZ"/>
        </w:rPr>
        <w:t xml:space="preserve"> نـحو قوله تعالى: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 xml:space="preserve">قَالَ أَرَاغِبٌ أَنْتَ عَنْ آلِهــَتِي يَا إِبْرَاهِيمُ </w:t>
      </w:r>
      <w:r w:rsidRPr="00CF7AE8">
        <w:rPr>
          <w:rFonts w:ascii="Simplified Arabic" w:hAnsi="Simplified Arabic" w:cs="Simplified Arabic"/>
          <w:sz w:val="32"/>
          <w:szCs w:val="32"/>
          <w:rtl/>
          <w:lang w:val="fr-FR" w:bidi="ar-DZ"/>
        </w:rPr>
        <w:t>﴾</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val="fr-FR" w:bidi="ar-DZ"/>
        </w:rPr>
        <w:t xml:space="preserve"> )</w:t>
      </w:r>
      <w:r>
        <w:rPr>
          <w:rFonts w:ascii="Simplified Arabic" w:hAnsi="Simplified Arabic" w:cs="Simplified Arabic"/>
          <w:sz w:val="32"/>
          <w:szCs w:val="32"/>
          <w:rtl/>
          <w:lang w:bidi="ar-DZ"/>
        </w:rPr>
        <w:t>مريم: 46</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ونحو: ما ممــدوحُ المهملُ في أعماله. و</w:t>
      </w:r>
      <w:r>
        <w:rPr>
          <w:rFonts w:ascii="Simplified Arabic" w:hAnsi="Simplified Arabic" w:cs="Simplified Arabic"/>
          <w:sz w:val="32"/>
          <w:szCs w:val="32"/>
          <w:rtl/>
          <w:lang w:bidi="ar-DZ"/>
        </w:rPr>
        <w:t>قد قال عنها ابن النحاس( 698هـ)</w:t>
      </w:r>
      <w:r>
        <w:rPr>
          <w:rFonts w:ascii="Simplified Arabic" w:hAnsi="Simplified Arabic" w:cs="Simplified Arabic" w:hint="cs"/>
          <w:sz w:val="32"/>
          <w:szCs w:val="32"/>
          <w:rtl/>
          <w:lang w:bidi="ar-DZ"/>
        </w:rPr>
        <w:t xml:space="preserve"> </w:t>
      </w:r>
      <w:r w:rsidRPr="00ED7C90">
        <w:rPr>
          <w:rFonts w:ascii="Simplified Arabic" w:hAnsi="Simplified Arabic" w:cs="Simplified Arabic"/>
          <w:sz w:val="32"/>
          <w:szCs w:val="32"/>
          <w:rtl/>
          <w:lang w:bidi="ar-DZ"/>
        </w:rPr>
        <w:t>في (التعـــليقة): « مبتدآن لا أخبــــار</w:t>
      </w:r>
      <w:r w:rsidRPr="00ED7C90">
        <w:rPr>
          <w:rFonts w:ascii="Simplified Arabic" w:hAnsi="Simplified Arabic" w:cs="Simplified Arabic" w:hint="cs"/>
          <w:sz w:val="32"/>
          <w:szCs w:val="32"/>
          <w:rtl/>
          <w:lang w:bidi="ar-DZ"/>
        </w:rPr>
        <w:t xml:space="preserve"> </w:t>
      </w:r>
      <w:r w:rsidRPr="00ED7C90">
        <w:rPr>
          <w:rFonts w:ascii="Simplified Arabic" w:hAnsi="Simplified Arabic" w:cs="Simplified Arabic"/>
          <w:sz w:val="32"/>
          <w:szCs w:val="32"/>
          <w:rtl/>
          <w:lang w:bidi="ar-DZ"/>
        </w:rPr>
        <w:t>لهما »</w:t>
      </w:r>
      <w:r>
        <w:rPr>
          <w:rStyle w:val="Appelnotedebasdep"/>
          <w:rFonts w:ascii="Simplified Arabic" w:hAnsi="Simplified Arabic" w:cs="Simplified Arabic"/>
          <w:sz w:val="32"/>
          <w:szCs w:val="32"/>
          <w:rtl/>
          <w:lang w:bidi="ar-DZ"/>
        </w:rPr>
        <w:footnoteReference w:customMarkFollows="1" w:id="8"/>
        <w:t>2</w:t>
      </w:r>
      <w:r w:rsidRPr="00ED7C90">
        <w:rPr>
          <w:rFonts w:ascii="Simplified Arabic" w:hAnsi="Simplified Arabic" w:cs="Simplified Arabic"/>
          <w:sz w:val="32"/>
          <w:szCs w:val="32"/>
          <w:rtl/>
          <w:lang w:bidi="ar-DZ"/>
        </w:rPr>
        <w:t>. بمعنى أن المرفوع بعدهما إما فاعل أو نائب عن الفاعل يسد</w:t>
      </w:r>
      <w:r w:rsidRPr="00ED7C90">
        <w:rPr>
          <w:rFonts w:ascii="Simplified Arabic" w:hAnsi="Simplified Arabic" w:cs="Simplified Arabic" w:hint="cs"/>
          <w:sz w:val="32"/>
          <w:szCs w:val="32"/>
          <w:rtl/>
          <w:lang w:bidi="ar-DZ"/>
        </w:rPr>
        <w:t>ّ</w:t>
      </w:r>
      <w:r w:rsidRPr="00ED7C90">
        <w:rPr>
          <w:rFonts w:ascii="Simplified Arabic" w:hAnsi="Simplified Arabic" w:cs="Simplified Arabic"/>
          <w:sz w:val="32"/>
          <w:szCs w:val="32"/>
          <w:rtl/>
          <w:lang w:bidi="ar-DZ"/>
        </w:rPr>
        <w:t xml:space="preserve"> مسد</w:t>
      </w:r>
      <w:r w:rsidRPr="00ED7C90">
        <w:rPr>
          <w:rFonts w:ascii="Simplified Arabic" w:hAnsi="Simplified Arabic" w:cs="Simplified Arabic" w:hint="cs"/>
          <w:sz w:val="32"/>
          <w:szCs w:val="32"/>
          <w:rtl/>
          <w:lang w:bidi="ar-DZ"/>
        </w:rPr>
        <w:t>ّ</w:t>
      </w:r>
      <w:r w:rsidRPr="00ED7C90">
        <w:rPr>
          <w:rFonts w:ascii="Simplified Arabic" w:hAnsi="Simplified Arabic" w:cs="Simplified Arabic"/>
          <w:sz w:val="32"/>
          <w:szCs w:val="32"/>
          <w:rtl/>
          <w:lang w:bidi="ar-DZ"/>
        </w:rPr>
        <w:t xml:space="preserve"> الخبر.</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b/>
          <w:bCs/>
          <w:sz w:val="32"/>
          <w:szCs w:val="32"/>
          <w:rtl/>
          <w:lang w:bidi="ar-DZ"/>
        </w:rPr>
        <w:t xml:space="preserve">ب- المؤول: </w:t>
      </w:r>
      <w:r w:rsidRPr="00CF7AE8">
        <w:rPr>
          <w:rFonts w:ascii="Simplified Arabic" w:hAnsi="Simplified Arabic" w:cs="Simplified Arabic"/>
          <w:sz w:val="32"/>
          <w:szCs w:val="32"/>
          <w:rtl/>
          <w:lang w:bidi="ar-DZ"/>
        </w:rPr>
        <w:t>وهو غير الصريح، والمقصود به هو لفظ غير مصرح به، وإنما يقدر ويؤوَل تأويلا عن جملة نحو: " أن تذاكر أنفعُ لك" ، فعبارة (أن تذاكر) مبتدأ والتقدير: "مذاكرتك أنفع لك" ونحو 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وَأَن تَصُومُوا خَيرٌ لَكُمْ</w:t>
      </w:r>
      <w:r w:rsidRPr="00CF7AE8">
        <w:rPr>
          <w:rFonts w:ascii="Simplified Arabic" w:hAnsi="Simplified Arabic" w:cs="Simplified Arabic"/>
          <w:sz w:val="32"/>
          <w:szCs w:val="32"/>
          <w:rtl/>
          <w:lang w:val="fr-FR" w:bidi="ar-DZ"/>
        </w:rPr>
        <w:t>﴾</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bidi="ar-DZ"/>
        </w:rPr>
        <w:t>البقرة :184</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فجملة ( أن تصوموا) مبتدأ و(خير) خبره والتقدير:(صومكم أو صيامكم خير لكم).</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 وقد وضع للمبتدإ حدودا تشترط فيه تتمثل في:</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الاسمية:</w:t>
      </w:r>
      <w:r w:rsidRPr="00CF7AE8">
        <w:rPr>
          <w:rFonts w:ascii="Simplified Arabic" w:hAnsi="Simplified Arabic" w:cs="Simplified Arabic"/>
          <w:sz w:val="32"/>
          <w:szCs w:val="32"/>
          <w:rtl/>
          <w:lang w:bidi="ar-DZ"/>
        </w:rPr>
        <w:t>أن يكون المبتدأ اسما، ذلك أن الجملة الاسمية الغرض منها الإخبار عن شيء، وهذا الشيء لا يكون إلا اسما، سواء أكان اسم ذات أ</w:t>
      </w:r>
      <w:r>
        <w:rPr>
          <w:rFonts w:ascii="Simplified Arabic" w:hAnsi="Simplified Arabic" w:cs="Simplified Arabic" w:hint="cs"/>
          <w:sz w:val="32"/>
          <w:szCs w:val="32"/>
          <w:rtl/>
          <w:lang w:bidi="ar-DZ"/>
        </w:rPr>
        <w:t>م</w:t>
      </w:r>
      <w:r w:rsidRPr="00CF7AE8">
        <w:rPr>
          <w:rFonts w:ascii="Simplified Arabic" w:hAnsi="Simplified Arabic" w:cs="Simplified Arabic"/>
          <w:sz w:val="32"/>
          <w:szCs w:val="32"/>
          <w:rtl/>
          <w:lang w:bidi="ar-DZ"/>
        </w:rPr>
        <w:t xml:space="preserve"> هيئة أ</w:t>
      </w:r>
      <w:r>
        <w:rPr>
          <w:rFonts w:ascii="Simplified Arabic" w:hAnsi="Simplified Arabic" w:cs="Simplified Arabic" w:hint="cs"/>
          <w:sz w:val="32"/>
          <w:szCs w:val="32"/>
          <w:rtl/>
          <w:lang w:bidi="ar-DZ"/>
        </w:rPr>
        <w:t>م</w:t>
      </w:r>
      <w:r w:rsidRPr="00CF7AE8">
        <w:rPr>
          <w:rFonts w:ascii="Simplified Arabic" w:hAnsi="Simplified Arabic" w:cs="Simplified Arabic"/>
          <w:sz w:val="32"/>
          <w:szCs w:val="32"/>
          <w:rtl/>
          <w:lang w:bidi="ar-DZ"/>
        </w:rPr>
        <w:t xml:space="preserve"> عين أ</w:t>
      </w:r>
      <w:r>
        <w:rPr>
          <w:rFonts w:ascii="Simplified Arabic" w:hAnsi="Simplified Arabic" w:cs="Simplified Arabic" w:hint="cs"/>
          <w:sz w:val="32"/>
          <w:szCs w:val="32"/>
          <w:rtl/>
          <w:lang w:bidi="ar-DZ"/>
        </w:rPr>
        <w:t>م</w:t>
      </w:r>
      <w:r w:rsidRPr="00CF7AE8">
        <w:rPr>
          <w:rFonts w:ascii="Simplified Arabic" w:hAnsi="Simplified Arabic" w:cs="Simplified Arabic"/>
          <w:sz w:val="32"/>
          <w:szCs w:val="32"/>
          <w:rtl/>
          <w:lang w:bidi="ar-DZ"/>
        </w:rPr>
        <w:t xml:space="preserve"> معنى، ومنه « الاسم الصريح  والاسم المؤول، والاسم </w:t>
      </w:r>
      <w:r w:rsidRPr="00CF7AE8">
        <w:rPr>
          <w:rFonts w:ascii="Simplified Arabic" w:hAnsi="Simplified Arabic" w:cs="Simplified Arabic" w:hint="cs"/>
          <w:sz w:val="32"/>
          <w:szCs w:val="32"/>
          <w:rtl/>
          <w:lang w:bidi="ar-DZ"/>
        </w:rPr>
        <w:t>المحكي</w:t>
      </w:r>
      <w:r w:rsidRPr="00CF7AE8">
        <w:rPr>
          <w:rFonts w:ascii="Simplified Arabic" w:hAnsi="Simplified Arabic" w:cs="Simplified Arabic"/>
          <w:sz w:val="32"/>
          <w:szCs w:val="32"/>
          <w:rtl/>
          <w:lang w:bidi="ar-DZ"/>
        </w:rPr>
        <w:t xml:space="preserve"> بالنقل»</w:t>
      </w:r>
      <w:r>
        <w:rPr>
          <w:rStyle w:val="Appelnotedebasdep"/>
          <w:rFonts w:ascii="Simplified Arabic" w:hAnsi="Simplified Arabic" w:cs="Simplified Arabic"/>
          <w:sz w:val="32"/>
          <w:szCs w:val="32"/>
          <w:rtl/>
          <w:lang w:bidi="ar-DZ"/>
        </w:rPr>
        <w:footnoteReference w:customMarkFollows="1" w:id="9"/>
        <w:t>3</w:t>
      </w:r>
      <w:r w:rsidRPr="00CF7AE8">
        <w:rPr>
          <w:rFonts w:ascii="Simplified Arabic" w:hAnsi="Simplified Arabic" w:cs="Simplified Arabic"/>
          <w:sz w:val="32"/>
          <w:szCs w:val="32"/>
          <w:rtl/>
          <w:lang w:bidi="ar-DZ"/>
        </w:rPr>
        <w:t xml:space="preserve"> .</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lastRenderedPageBreak/>
        <w:t>1- الاسم الصريح</w:t>
      </w:r>
      <w:r w:rsidRPr="00CF7AE8">
        <w:rPr>
          <w:rFonts w:ascii="Simplified Arabic" w:hAnsi="Simplified Arabic" w:cs="Simplified Arabic"/>
          <w:sz w:val="32"/>
          <w:szCs w:val="32"/>
          <w:rtl/>
          <w:lang w:bidi="ar-DZ"/>
        </w:rPr>
        <w:t>: هو كل ما دل على معنى في نفسه غير مقترن بالزمن، وهو اسم صالح  للابتدائية، سواء أدل على إنسان، أم حيوان، أم نبات، أم جماد، أم الألفاظ المحصورة التي وضعت في اللغة في مجموعات تؤدي دلالات اسمية محدودة، نحو:أسماء الاستفهام، أسماء الشرط، أسماء الإشارة، الأسماء الموصولة، الضمائر، الظروف وغيرها.</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2- الاسم المؤول</w:t>
      </w:r>
      <w:r w:rsidRPr="00CF7AE8">
        <w:rPr>
          <w:rFonts w:ascii="Simplified Arabic" w:hAnsi="Simplified Arabic" w:cs="Simplified Arabic"/>
          <w:sz w:val="32"/>
          <w:szCs w:val="32"/>
          <w:rtl/>
          <w:lang w:bidi="ar-DZ"/>
        </w:rPr>
        <w:t>: المصادر المؤولة هي أسماء صالحة للابتدائية، ويبنى المصدر المؤول من:</w:t>
      </w:r>
    </w:p>
    <w:p w:rsidR="00A76EAB" w:rsidRPr="00CF7AE8" w:rsidRDefault="00A76EAB" w:rsidP="00A76EAB">
      <w:pPr>
        <w:ind w:firstLine="48"/>
        <w:jc w:val="both"/>
        <w:rPr>
          <w:rFonts w:ascii="Simplified Arabic" w:hAnsi="Simplified Arabic" w:cs="Simplified Arabic"/>
          <w:sz w:val="32"/>
          <w:szCs w:val="32"/>
        </w:rPr>
      </w:pPr>
      <w:r w:rsidRPr="00CF7AE8">
        <w:rPr>
          <w:rFonts w:ascii="Simplified Arabic" w:hAnsi="Simplified Arabic" w:cs="Simplified Arabic"/>
          <w:sz w:val="32"/>
          <w:szCs w:val="32"/>
          <w:rtl/>
          <w:lang w:bidi="ar-DZ"/>
        </w:rPr>
        <w:t>- (أنَّ)المفتوحة الهمزة المشددة النون ومعموليْها:</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نحو 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وَم</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نْ آيَات</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ه</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 xml:space="preserve"> أَن</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كَ تَرَى الأَرْضَ خَاش</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 xml:space="preserve">عَةً ﴾ </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فصلت:39</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xml:space="preserve"> حيث المصدر المؤول (أنك ترى) في محل رفع مبتدأ مؤخر، خبره المقدم شبه الجملة(من آياته) والتقدير (ومن آياته رؤيتك الأرض خاشعة).</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 (أن) المفتوحة الهمزة والفعل: نحو قولهم في المثل: ( تسمع بالمعيدي خير من أن تراه) </w:t>
      </w:r>
      <w:r>
        <w:rPr>
          <w:rStyle w:val="Appelnotedebasdep"/>
          <w:rFonts w:ascii="Simplified Arabic" w:hAnsi="Simplified Arabic" w:cs="Simplified Arabic"/>
          <w:sz w:val="32"/>
          <w:szCs w:val="32"/>
          <w:rtl/>
          <w:lang w:bidi="ar-DZ"/>
        </w:rPr>
        <w:footnoteReference w:customMarkFollows="1" w:id="10"/>
        <w:t>1</w:t>
      </w:r>
      <w:r w:rsidRPr="00CF7AE8">
        <w:rPr>
          <w:rFonts w:ascii="Simplified Arabic" w:hAnsi="Simplified Arabic" w:cs="Simplified Arabic"/>
          <w:sz w:val="32"/>
          <w:szCs w:val="32"/>
          <w:rtl/>
          <w:lang w:bidi="ar-DZ"/>
        </w:rPr>
        <w:t xml:space="preserve"> أن  </w:t>
      </w:r>
      <w:r w:rsidRPr="00CF7AE8">
        <w:rPr>
          <w:rFonts w:ascii="Simplified Arabic" w:hAnsi="Simplified Arabic" w:cs="Simplified Arabic" w:hint="cs"/>
          <w:sz w:val="32"/>
          <w:szCs w:val="32"/>
          <w:rtl/>
          <w:lang w:bidi="ar-DZ"/>
        </w:rPr>
        <w:t>محذوفة</w:t>
      </w:r>
      <w:r w:rsidRPr="00CF7AE8">
        <w:rPr>
          <w:rFonts w:ascii="Simplified Arabic" w:hAnsi="Simplified Arabic" w:cs="Simplified Arabic"/>
          <w:sz w:val="32"/>
          <w:szCs w:val="32"/>
          <w:rtl/>
          <w:lang w:bidi="ar-DZ"/>
        </w:rPr>
        <w:t xml:space="preserve"> (أن تسمع) والتقدير</w:t>
      </w:r>
      <w:r>
        <w:rPr>
          <w:rFonts w:ascii="Simplified Arabic" w:hAnsi="Simplified Arabic" w:cs="Simplified Arabic" w:hint="cs"/>
          <w:sz w:val="32"/>
          <w:szCs w:val="32"/>
          <w:rtl/>
          <w:lang w:bidi="ar-DZ"/>
        </w:rPr>
        <w:t>:</w:t>
      </w:r>
      <w:r w:rsidRPr="00CF7AE8">
        <w:rPr>
          <w:rFonts w:ascii="Simplified Arabic" w:hAnsi="Simplified Arabic" w:cs="Simplified Arabic"/>
          <w:sz w:val="32"/>
          <w:szCs w:val="32"/>
          <w:rtl/>
          <w:lang w:bidi="ar-DZ"/>
        </w:rPr>
        <w:t>(سماعك بالمعيدي خير من أن تراه).</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(لو) والفعل: نحو(من أمنياتي لو حصلتَ على المركز الأول في الامتحان)والتقدير حصولك على المركز الأول في الامتحان من أمنياتي.</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3- الاسم المحكي بالنقل: </w:t>
      </w:r>
      <w:r w:rsidRPr="00CF7AE8">
        <w:rPr>
          <w:rFonts w:ascii="Simplified Arabic" w:hAnsi="Simplified Arabic" w:cs="Simplified Arabic"/>
          <w:sz w:val="32"/>
          <w:szCs w:val="32"/>
          <w:rtl/>
          <w:lang w:bidi="ar-DZ"/>
        </w:rPr>
        <w:t xml:space="preserve">المبتدأ يمكن أن يكون اسما محكيا بالنقل أي بالنقل من الحرفية أو الفعلية إلى الاسمية، وذلك بإطلاق أيّ منهما على شيء ما لتكون علما عليه أو أن يعبر بها عن ذاتها، نحو: (يزيدُ من طلاب القسم) ف(يزيد) مبتدأ مرفوع وعلامة رفعه الضمة وهو منقول عن الفعلية إلى الاسمية وخبره شبه الجملة(من طلاب) ونحو قولنا: (عن) حرف جر (إن) حرف توكيد إنما نريد </w:t>
      </w:r>
      <w:r w:rsidRPr="00CF7AE8">
        <w:rPr>
          <w:rFonts w:ascii="Simplified Arabic" w:hAnsi="Simplified Arabic" w:cs="Simplified Arabic"/>
          <w:sz w:val="32"/>
          <w:szCs w:val="32"/>
          <w:rtl/>
          <w:lang w:bidi="ar-DZ"/>
        </w:rPr>
        <w:lastRenderedPageBreak/>
        <w:t>الكلمة(عن) والكلمة(إن) أي: نريد ذات الشيء، وبذلك نكون قد نقلنا هما من الحرفية إلى الاسمية فيكون كل منهما مبتدأ مبـني في محل رفع، وكلاهما اسم محكيّ بالنقل</w:t>
      </w:r>
      <w:r w:rsidRPr="00CF7AE8">
        <w:rPr>
          <w:rFonts w:ascii="Simplified Arabic" w:hAnsi="Simplified Arabic" w:cs="Simplified Arabic"/>
          <w:sz w:val="32"/>
          <w:szCs w:val="32"/>
          <w:lang w:bidi="ar-DZ"/>
        </w:rPr>
        <w:t>.</w:t>
      </w:r>
    </w:p>
    <w:p w:rsidR="00A76EAB" w:rsidRPr="00CF7AE8" w:rsidRDefault="00A76EAB" w:rsidP="00A76EAB">
      <w:pPr>
        <w:ind w:right="-540" w:firstLine="48"/>
        <w:jc w:val="both"/>
        <w:rPr>
          <w:rFonts w:ascii="Simplified Arabic" w:hAnsi="Simplified Arabic" w:cs="Simplified Arabic"/>
          <w:sz w:val="32"/>
          <w:szCs w:val="32"/>
          <w:lang w:bidi="ar-DZ"/>
        </w:rPr>
      </w:pPr>
      <w:r w:rsidRPr="00CF7AE8">
        <w:rPr>
          <w:rFonts w:ascii="Simplified Arabic" w:hAnsi="Simplified Arabic" w:cs="Simplified Arabic"/>
          <w:b/>
          <w:bCs/>
          <w:sz w:val="32"/>
          <w:szCs w:val="32"/>
          <w:rtl/>
          <w:lang w:bidi="ar-DZ"/>
        </w:rPr>
        <w:t>ب- التعريف:</w:t>
      </w:r>
      <w:r w:rsidRPr="00CF7AE8">
        <w:rPr>
          <w:rFonts w:ascii="Simplified Arabic" w:hAnsi="Simplified Arabic" w:cs="Simplified Arabic"/>
          <w:sz w:val="32"/>
          <w:szCs w:val="32"/>
          <w:rtl/>
          <w:lang w:bidi="ar-DZ"/>
        </w:rPr>
        <w:t xml:space="preserve"> جاء في شرح المفصل لابن يعيش قوله: « اعلم أن أصـــل المبـــتدأ أن </w:t>
      </w:r>
    </w:p>
    <w:p w:rsidR="00A76EAB" w:rsidRPr="00CF7AE8" w:rsidRDefault="00A76EAB" w:rsidP="00A76EAB">
      <w:pPr>
        <w:ind w:right="-540"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يكون معرفة».</w:t>
      </w:r>
      <w:r>
        <w:rPr>
          <w:rStyle w:val="Appelnotedebasdep"/>
          <w:rFonts w:ascii="Simplified Arabic" w:hAnsi="Simplified Arabic" w:cs="Simplified Arabic"/>
          <w:sz w:val="32"/>
          <w:szCs w:val="32"/>
          <w:rtl/>
          <w:lang w:bidi="ar-DZ"/>
        </w:rPr>
        <w:footnoteReference w:customMarkFollows="1" w:id="11"/>
        <w:t>2</w:t>
      </w:r>
      <w:r>
        <w:rPr>
          <w:rFonts w:ascii="Simplified Arabic" w:hAnsi="Simplified Arabic" w:cs="Simplified Arabic" w:hint="cs"/>
          <w:sz w:val="32"/>
          <w:szCs w:val="32"/>
          <w:rtl/>
          <w:lang w:bidi="ar-DZ"/>
        </w:rPr>
        <w:t xml:space="preserve"> </w:t>
      </w:r>
      <w:r w:rsidRPr="00CF7AE8">
        <w:rPr>
          <w:rFonts w:ascii="Simplified Arabic" w:hAnsi="Simplified Arabic" w:cs="Simplified Arabic"/>
          <w:sz w:val="32"/>
          <w:szCs w:val="32"/>
          <w:rtl/>
          <w:lang w:bidi="ar-DZ"/>
        </w:rPr>
        <w:t xml:space="preserve">وهـي  السمة الغالبة في المبتدأ.                                   </w:t>
      </w:r>
    </w:p>
    <w:p w:rsidR="00A76EAB" w:rsidRPr="00CF7AE8" w:rsidRDefault="00A76EAB" w:rsidP="00A76EAB">
      <w:pPr>
        <w:ind w:right="-540"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ولا يكون المبتدأ في الغالب      إلا وقد عرّفته  كالكاتب</w:t>
      </w:r>
      <w:r>
        <w:rPr>
          <w:rStyle w:val="Appelnotedebasdep"/>
          <w:rFonts w:ascii="Simplified Arabic" w:hAnsi="Simplified Arabic" w:cs="Simplified Arabic"/>
          <w:sz w:val="32"/>
          <w:szCs w:val="32"/>
          <w:rtl/>
          <w:lang w:bidi="ar-DZ"/>
        </w:rPr>
        <w:footnoteReference w:customMarkFollows="1" w:id="12"/>
        <w:t>3</w:t>
      </w:r>
    </w:p>
    <w:p w:rsidR="00A76EAB" w:rsidRDefault="00A76EAB" w:rsidP="00A76EAB">
      <w:pPr>
        <w:ind w:firstLine="48"/>
        <w:jc w:val="both"/>
        <w:rPr>
          <w:rFonts w:ascii="Simplified Arabic" w:hAnsi="Simplified Arabic" w:cs="Simplified Arabic"/>
          <w:sz w:val="32"/>
          <w:szCs w:val="32"/>
          <w:rtl/>
          <w:lang w:bidi="ar-DZ"/>
        </w:rPr>
      </w:pP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فأصله أن يكون معرفة، وذلك لأن الإخبار عن النكرة لا فائدة فيه</w:t>
      </w:r>
      <w:r>
        <w:rPr>
          <w:rStyle w:val="Appelnotedebasdep"/>
          <w:rFonts w:ascii="Simplified Arabic" w:hAnsi="Simplified Arabic" w:cs="Simplified Arabic"/>
          <w:sz w:val="32"/>
          <w:szCs w:val="32"/>
          <w:rtl/>
          <w:lang w:bidi="ar-DZ"/>
        </w:rPr>
        <w:footnoteReference w:customMarkFollows="1" w:id="13"/>
        <w:t>1</w:t>
      </w:r>
      <w:r w:rsidRPr="00CF7AE8">
        <w:rPr>
          <w:rFonts w:ascii="Simplified Arabic" w:hAnsi="Simplified Arabic" w:cs="Simplified Arabic"/>
          <w:sz w:val="32"/>
          <w:szCs w:val="32"/>
          <w:rtl/>
          <w:lang w:bidi="ar-DZ"/>
        </w:rPr>
        <w:t xml:space="preserve">، كما أن المستفاد من المتحدث إنما هو المعنى الإخباري الذي يتمم الجملة الاسمية، فهو المعنى المجهول لديه، أما المتحدث عنه فإنه يحب أن يكون معلوما لدي طرفي الكلام(متكلم ومتلقي)، لذا وجب افتراض معلومية المبتدأ لكليهما، هذا ما جعل النحاة يجمعون على عدم الابتداء بالنكرة المحضة، لأنها مجهولة والحكم على المجهول لا يفيد في غالب الأحيان،مع إجازتهم لبعض المواطن التي يكون فيها المبتدأ نكرة، وكان الضابط المستخدم في تحديدها حصول الفائدة، ولكن« ليس كل أحد يهتدي إلى مواطن الفائدة فتتبعوها فمن مقلّ مخلّ، ومن مكثر مورد مالا يصحّ </w:t>
      </w:r>
      <w:r w:rsidRPr="00CF7AE8">
        <w:rPr>
          <w:rFonts w:ascii="Simplified Arabic" w:hAnsi="Simplified Arabic" w:cs="Simplified Arabic"/>
          <w:sz w:val="32"/>
          <w:szCs w:val="32"/>
          <w:rtl/>
          <w:lang w:bidi="ar-DZ"/>
        </w:rPr>
        <w:lastRenderedPageBreak/>
        <w:t>أو معدّ لأمور متداخلة»</w:t>
      </w:r>
      <w:r>
        <w:rPr>
          <w:rStyle w:val="Appelnotedebasdep"/>
          <w:rFonts w:ascii="Simplified Arabic" w:hAnsi="Simplified Arabic" w:cs="Simplified Arabic"/>
          <w:sz w:val="32"/>
          <w:szCs w:val="32"/>
          <w:rtl/>
          <w:lang w:bidi="ar-DZ"/>
        </w:rPr>
        <w:footnoteReference w:customMarkFollows="1" w:id="14"/>
        <w:t>2</w:t>
      </w:r>
      <w:r>
        <w:rPr>
          <w:rFonts w:ascii="Simplified Arabic" w:hAnsi="Simplified Arabic" w:cs="Simplified Arabic" w:hint="cs"/>
          <w:sz w:val="32"/>
          <w:szCs w:val="32"/>
          <w:rtl/>
          <w:lang w:bidi="ar-DZ"/>
        </w:rPr>
        <w:t xml:space="preserve"> </w:t>
      </w:r>
      <w:r w:rsidRPr="00CF7AE8">
        <w:rPr>
          <w:rFonts w:ascii="Simplified Arabic" w:hAnsi="Simplified Arabic" w:cs="Simplified Arabic"/>
          <w:sz w:val="32"/>
          <w:szCs w:val="32"/>
          <w:rtl/>
          <w:lang w:bidi="ar-DZ"/>
        </w:rPr>
        <w:t>وهذا ما يتجلى بوضوح في كتب النحو فابن مالك يجيز الابتداء بالنـــــكرة في ستة مواضع</w:t>
      </w:r>
      <w:r>
        <w:rPr>
          <w:rStyle w:val="Appelnotedebasdep"/>
          <w:rFonts w:ascii="Simplified Arabic" w:hAnsi="Simplified Arabic" w:cs="Simplified Arabic"/>
          <w:sz w:val="32"/>
          <w:szCs w:val="32"/>
          <w:rtl/>
          <w:lang w:bidi="ar-DZ"/>
        </w:rPr>
        <w:footnoteReference w:customMarkFollows="1" w:id="15"/>
        <w:t>3</w:t>
      </w:r>
      <w:r w:rsidRPr="00CF7AE8">
        <w:rPr>
          <w:rFonts w:ascii="Simplified Arabic" w:hAnsi="Simplified Arabic" w:cs="Simplified Arabic"/>
          <w:sz w:val="32"/>
          <w:szCs w:val="32"/>
          <w:rtl/>
          <w:lang w:bidi="ar-DZ"/>
        </w:rPr>
        <w:t>، نستخلصها من قوله:</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ولا يجوز الابتدا بالنكره       ما لم تفد كعند زيد نمره</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وهل فتى فيكم فما خل لنا       ورجل من الكرام عندنا</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ورغبة في الخير خير وعمل      برّ يزين وليقس مالم يُقل</w:t>
      </w:r>
      <w:r>
        <w:rPr>
          <w:rStyle w:val="Appelnotedebasdep"/>
          <w:rFonts w:ascii="Simplified Arabic" w:hAnsi="Simplified Arabic" w:cs="Simplified Arabic"/>
          <w:sz w:val="32"/>
          <w:szCs w:val="32"/>
          <w:rtl/>
          <w:lang w:bidi="ar-DZ"/>
        </w:rPr>
        <w:footnoteReference w:customMarkFollows="1" w:id="16"/>
        <w:t>4</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وحصرها إبراهيم إبراهيم بركات في كتابه النحو العربي في اثنين وثلاثين موضعا</w:t>
      </w:r>
      <w:r>
        <w:rPr>
          <w:rStyle w:val="Appelnotedebasdep"/>
          <w:rFonts w:ascii="Simplified Arabic" w:hAnsi="Simplified Arabic" w:cs="Simplified Arabic"/>
          <w:sz w:val="32"/>
          <w:szCs w:val="32"/>
          <w:rtl/>
          <w:lang w:bidi="ar-DZ"/>
        </w:rPr>
        <w:footnoteReference w:customMarkFollows="1" w:id="17"/>
        <w:t>5</w:t>
      </w:r>
      <w:r w:rsidRPr="00CF7AE8">
        <w:rPr>
          <w:rFonts w:ascii="Simplified Arabic" w:hAnsi="Simplified Arabic" w:cs="Simplified Arabic"/>
          <w:sz w:val="32"/>
          <w:szCs w:val="32"/>
          <w:rtl/>
          <w:lang w:bidi="ar-DZ"/>
        </w:rPr>
        <w:t xml:space="preserve">، وجاوزت الثلاثين عند ابن عقيل </w:t>
      </w:r>
      <w:r>
        <w:rPr>
          <w:rStyle w:val="Appelnotedebasdep"/>
          <w:rFonts w:ascii="Simplified Arabic" w:hAnsi="Simplified Arabic" w:cs="Simplified Arabic"/>
          <w:sz w:val="32"/>
          <w:szCs w:val="32"/>
          <w:rtl/>
          <w:lang w:bidi="ar-DZ"/>
        </w:rPr>
        <w:footnoteReference w:customMarkFollows="1" w:id="18"/>
        <w:t>6</w:t>
      </w:r>
      <w:r w:rsidRPr="00CF7AE8">
        <w:rPr>
          <w:rFonts w:ascii="Simplified Arabic" w:hAnsi="Simplified Arabic" w:cs="Simplified Arabic"/>
          <w:sz w:val="32"/>
          <w:szCs w:val="32"/>
          <w:rtl/>
          <w:lang w:bidi="ar-DZ"/>
        </w:rPr>
        <w:t>، وذكر بعض النحاة أنها كلها ترجع إلى الخصوص والعموم</w:t>
      </w:r>
      <w:r>
        <w:rPr>
          <w:rStyle w:val="Appelnotedebasdep"/>
          <w:rFonts w:ascii="Simplified Arabic" w:hAnsi="Simplified Arabic" w:cs="Simplified Arabic"/>
          <w:sz w:val="32"/>
          <w:szCs w:val="32"/>
          <w:rtl/>
          <w:lang w:bidi="ar-DZ"/>
        </w:rPr>
        <w:footnoteReference w:customMarkFollows="1" w:id="19"/>
        <w:t>7</w:t>
      </w:r>
      <w:r w:rsidRPr="00CF7AE8">
        <w:rPr>
          <w:rFonts w:ascii="Simplified Arabic" w:hAnsi="Simplified Arabic" w:cs="Simplified Arabic"/>
          <w:sz w:val="32"/>
          <w:szCs w:val="32"/>
          <w:rtl/>
          <w:lang w:bidi="ar-DZ"/>
        </w:rPr>
        <w:t xml:space="preserve">  وعدّها </w:t>
      </w:r>
      <w:r w:rsidRPr="00CF7AE8">
        <w:rPr>
          <w:rFonts w:ascii="Simplified Arabic" w:hAnsi="Simplified Arabic" w:cs="Simplified Arabic"/>
          <w:sz w:val="32"/>
          <w:szCs w:val="32"/>
          <w:rtl/>
        </w:rPr>
        <w:t>ج</w:t>
      </w:r>
      <w:r w:rsidRPr="00CF7AE8">
        <w:rPr>
          <w:rFonts w:ascii="Simplified Arabic" w:hAnsi="Simplified Arabic" w:cs="Simplified Arabic"/>
          <w:sz w:val="32"/>
          <w:szCs w:val="32"/>
          <w:rtl/>
          <w:lang w:bidi="ar-DZ"/>
        </w:rPr>
        <w:t xml:space="preserve">لال الدين السبوطي في عشرة أمور </w:t>
      </w:r>
      <w:r>
        <w:rPr>
          <w:rStyle w:val="Appelnotedebasdep"/>
          <w:rFonts w:ascii="Simplified Arabic" w:hAnsi="Simplified Arabic" w:cs="Simplified Arabic"/>
          <w:sz w:val="32"/>
          <w:szCs w:val="32"/>
          <w:rtl/>
          <w:lang w:bidi="ar-DZ"/>
        </w:rPr>
        <w:footnoteReference w:customMarkFollows="1" w:id="20"/>
        <w:t>8</w:t>
      </w:r>
      <w:r w:rsidRPr="00CF7AE8">
        <w:rPr>
          <w:rFonts w:ascii="Simplified Arabic" w:hAnsi="Simplified Arabic" w:cs="Simplified Arabic"/>
          <w:sz w:val="32"/>
          <w:szCs w:val="32"/>
          <w:rtl/>
          <w:lang w:bidi="ar-DZ"/>
        </w:rPr>
        <w:t xml:space="preserve"> تتمثل في:</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1-</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تكون موصوفة لفظا، نحو 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وَأَجَلٌ مُسَم</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ى ع</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نْدَهُ﴾</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الأنعام: 2</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xml:space="preserve"> أو تقديرا نحو: ( السمن منوان بدهم ) </w:t>
      </w:r>
      <w:r>
        <w:rPr>
          <w:rStyle w:val="Appelnotedebasdep"/>
          <w:rFonts w:ascii="Simplified Arabic" w:hAnsi="Simplified Arabic" w:cs="Simplified Arabic"/>
          <w:sz w:val="32"/>
          <w:szCs w:val="32"/>
          <w:rtl/>
          <w:lang w:bidi="ar-DZ"/>
        </w:rPr>
        <w:footnoteReference w:customMarkFollows="1" w:id="21"/>
        <w:t>1</w:t>
      </w:r>
      <w:r w:rsidRPr="00CF7AE8">
        <w:rPr>
          <w:rFonts w:ascii="Simplified Arabic" w:hAnsi="Simplified Arabic" w:cs="Simplified Arabic"/>
          <w:sz w:val="32"/>
          <w:szCs w:val="32"/>
          <w:rtl/>
          <w:lang w:bidi="ar-DZ"/>
        </w:rPr>
        <w:t xml:space="preserve"> أي:منه، أو معنى نحو: رجيل جاءني، لأنه في معنى رجل صغير.</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2- أن تكون عاملة إما رفعا، نحو: قائم الزيدان، أو نصبا، نحو: أمر بمعرو</w:t>
      </w:r>
      <w:r>
        <w:rPr>
          <w:rFonts w:ascii="Simplified Arabic" w:hAnsi="Simplified Arabic" w:cs="Simplified Arabic"/>
          <w:sz w:val="32"/>
          <w:szCs w:val="32"/>
          <w:rtl/>
          <w:lang w:bidi="ar-DZ"/>
        </w:rPr>
        <w:t>ف صدقة. (رواه احمد في مسنده</w:t>
      </w:r>
      <w:r w:rsidRPr="00CF7AE8">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bidi="ar-DZ"/>
        </w:rPr>
        <w:footnoteReference w:customMarkFollows="1" w:id="22"/>
        <w:t>2</w:t>
      </w:r>
      <w:r w:rsidRPr="00CF7AE8">
        <w:rPr>
          <w:rFonts w:ascii="Simplified Arabic" w:hAnsi="Simplified Arabic" w:cs="Simplified Arabic"/>
          <w:sz w:val="32"/>
          <w:szCs w:val="32"/>
          <w:rtl/>
          <w:lang w:bidi="ar-DZ"/>
        </w:rPr>
        <w:t xml:space="preserve"> أو جرا نحو : غلام رجل جاءني.</w:t>
      </w:r>
    </w:p>
    <w:p w:rsidR="00A76EAB" w:rsidRPr="00CF7AE8" w:rsidRDefault="00A76EAB" w:rsidP="00A76EAB">
      <w:pPr>
        <w:ind w:firstLine="48"/>
        <w:jc w:val="both"/>
        <w:rPr>
          <w:rFonts w:ascii="Simplified Arabic" w:hAnsi="Simplified Arabic" w:cs="Simplified Arabic"/>
          <w:sz w:val="32"/>
          <w:szCs w:val="32"/>
          <w:rtl/>
          <w:lang w:val="fr-FR" w:bidi="ar-DZ"/>
        </w:rPr>
      </w:pPr>
      <w:r w:rsidRPr="00CF7AE8">
        <w:rPr>
          <w:rFonts w:ascii="Simplified Arabic" w:hAnsi="Simplified Arabic" w:cs="Simplified Arabic"/>
          <w:sz w:val="32"/>
          <w:szCs w:val="32"/>
          <w:rtl/>
          <w:lang w:bidi="ar-DZ"/>
        </w:rPr>
        <w:lastRenderedPageBreak/>
        <w:t>3- العطف يشترط كون المعـــطوف والمعطوف عليه مما يسوغ الابتداء به نحو قوله تعــالى: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w:t>
      </w:r>
      <w:r w:rsidRPr="00CF7AE8">
        <w:rPr>
          <w:rFonts w:ascii="Simplified Arabic" w:hAnsi="Simplified Arabic" w:cs="Simplified Arabic"/>
          <w:sz w:val="32"/>
          <w:szCs w:val="32"/>
          <w:rtl/>
          <w:lang w:bidi="ar-DZ"/>
        </w:rPr>
        <w:t xml:space="preserve"> طَاعَةٌ وَقَوْلٌ مَعْرُوفٌ﴾</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val="fr-FR" w:bidi="ar-DZ"/>
        </w:rPr>
        <w:t>[</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محم</w:t>
      </w:r>
      <w:r>
        <w:rPr>
          <w:rFonts w:ascii="Simplified Arabic" w:hAnsi="Simplified Arabic" w:cs="Simplified Arabic" w:hint="cs"/>
          <w:sz w:val="32"/>
          <w:szCs w:val="32"/>
          <w:rtl/>
          <w:lang w:bidi="ar-DZ"/>
        </w:rPr>
        <w:t>ـ</w:t>
      </w:r>
      <w:r w:rsidRPr="00CF7AE8">
        <w:rPr>
          <w:rFonts w:ascii="Simplified Arabic" w:hAnsi="Simplified Arabic" w:cs="Simplified Arabic"/>
          <w:sz w:val="32"/>
          <w:szCs w:val="32"/>
          <w:rtl/>
          <w:lang w:bidi="ar-DZ"/>
        </w:rPr>
        <w:t>د: 21</w:t>
      </w:r>
      <w:r>
        <w:rPr>
          <w:rFonts w:ascii="Simplified Arabic" w:hAnsi="Simplified Arabic" w:cs="Simplified Arabic" w:hint="cs"/>
          <w:sz w:val="32"/>
          <w:szCs w:val="32"/>
          <w:rtl/>
          <w:lang w:bidi="ar-DZ"/>
        </w:rPr>
        <w:t>]</w:t>
      </w:r>
      <w:r w:rsidRPr="00CF7AE8">
        <w:rPr>
          <w:rFonts w:ascii="Simplified Arabic" w:hAnsi="Simplified Arabic" w:cs="Simplified Arabic"/>
          <w:sz w:val="32"/>
          <w:szCs w:val="32"/>
          <w:rtl/>
          <w:lang w:bidi="ar-DZ"/>
        </w:rPr>
        <w:t xml:space="preserve"> أي: أمثل من غيرهما.</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4- أن يكون خبرها ظرفا أو مجرورا، وزاد ابن مالك أو جملة، نحو 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rtl/>
          <w:lang w:bidi="ar-DZ"/>
        </w:rPr>
        <w:t>وَلَدَيْنَا مَز</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يدٌ</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xml:space="preserve">ق:35 </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وقوله تعالى :</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لِكُل</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 xml:space="preserve"> أَجَل</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 xml:space="preserve"> ك</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تَابٌ﴾</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bidi="ar-DZ"/>
        </w:rPr>
        <w:t>الرعد: 38</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ونحو: قصدك غلامه رجل.</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 xml:space="preserve">5- أن تكون عامة إما بذاتها كأسماء الشرط، والاستفهام، أو بغيرها، نحو: ما رجل في الدار  وهل رجل في الدار، ونحو قوله تعالى: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أَإ</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لَهٌ م</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عَ الله</w:t>
      </w:r>
      <w:r w:rsidRPr="00CF7AE8">
        <w:rPr>
          <w:rFonts w:ascii="Simplified Arabic" w:hAnsi="Simplified Arabic" w:cs="Simplified Arabic"/>
          <w:sz w:val="32"/>
          <w:szCs w:val="32"/>
          <w:rtl/>
        </w:rPr>
        <w:t>ِ</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النمل: 60</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6- أن تكون في معنى الفعل، وهو شامل، نحو: عجب لزيد، وضبطوه بأن يراد به التعجب. ونحو 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rtl/>
          <w:lang w:bidi="ar-DZ"/>
        </w:rPr>
        <w:t>سَلاَمٌ عَلَى إ</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لْ يَاس</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ينَ</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bidi="ar-DZ"/>
        </w:rPr>
        <w:t>الصافات: 130</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xml:space="preserve"> وقوله تعالى:</w:t>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rtl/>
          <w:lang w:bidi="ar-DZ"/>
        </w:rPr>
        <w:t>وَيْلٌ ل</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لْمُطَف</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ف</w:t>
      </w:r>
      <w:r w:rsidRPr="00CF7AE8">
        <w:rPr>
          <w:rFonts w:ascii="Simplified Arabic" w:hAnsi="Simplified Arabic" w:cs="Simplified Arabic"/>
          <w:sz w:val="32"/>
          <w:szCs w:val="32"/>
          <w:rtl/>
        </w:rPr>
        <w:t>ِ</w:t>
      </w:r>
      <w:r w:rsidRPr="00CF7AE8">
        <w:rPr>
          <w:rFonts w:ascii="Simplified Arabic" w:hAnsi="Simplified Arabic" w:cs="Simplified Arabic"/>
          <w:sz w:val="32"/>
          <w:szCs w:val="32"/>
          <w:rtl/>
          <w:lang w:bidi="ar-DZ"/>
        </w:rPr>
        <w:t>ينَ</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المطففين:1</w:t>
      </w:r>
      <w:r w:rsidRPr="00CF7AE8">
        <w:rPr>
          <w:rFonts w:ascii="Simplified Arabic" w:hAnsi="Simplified Arabic" w:cs="Simplified Arabic"/>
          <w:sz w:val="32"/>
          <w:szCs w:val="32"/>
          <w:lang w:bidi="ar-DZ"/>
        </w:rPr>
        <w:t>(</w:t>
      </w:r>
      <w:r w:rsidRPr="00CF7AE8">
        <w:rPr>
          <w:rFonts w:ascii="Simplified Arabic" w:hAnsi="Simplified Arabic" w:cs="Simplified Arabic"/>
          <w:sz w:val="32"/>
          <w:szCs w:val="32"/>
          <w:rtl/>
          <w:lang w:bidi="ar-DZ"/>
        </w:rPr>
        <w:t xml:space="preserve"> وضبطوه بأن يراد به الدعاء.</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7- أن يكون مراد بها الحقيقة من حيث هي، نحو: رجل خير من امرأة.</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8- أن يكون ثبوت ذلك  الخبر من فوق العادة، نحو: شجرة سجدت.</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9- أن تقع بعد (إذا) الفجائية، نحو: خرجت فإذا رجل بالباب.</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10- أن تقع في أول جملة حالية،نحو:</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سرينا ونجم قد أضاء فمذ بدا     محيّاك أخفى ضوؤه كلَّ شارق</w:t>
      </w:r>
      <w:r w:rsidRPr="00CF7AE8">
        <w:rPr>
          <w:rStyle w:val="Appelnotedebasdep"/>
          <w:rFonts w:ascii="Simplified Arabic" w:hAnsi="Simplified Arabic" w:cs="Simplified Arabic"/>
          <w:sz w:val="32"/>
          <w:szCs w:val="32"/>
          <w:rtl/>
          <w:lang w:bidi="ar-DZ"/>
        </w:rPr>
        <w:footnoteReference w:customMarkFollows="1" w:id="23"/>
        <w:t>1</w:t>
      </w:r>
    </w:p>
    <w:p w:rsidR="00A76EAB" w:rsidRPr="00CF7AE8" w:rsidRDefault="00A76EAB" w:rsidP="00A76EAB">
      <w:pPr>
        <w:ind w:firstLine="48"/>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فالسيوطي يذهب مذهبا وسطا في تفصيله لمواضع جواز الابتداء بالنكرة، وما يمكن أن يخلص إليه في هذا الموضع هو أن هذه التقسيمات إنما كان مردها إلى </w:t>
      </w:r>
      <w:r w:rsidRPr="00CF7AE8">
        <w:rPr>
          <w:rFonts w:ascii="Simplified Arabic" w:hAnsi="Simplified Arabic" w:cs="Simplified Arabic"/>
          <w:sz w:val="32"/>
          <w:szCs w:val="32"/>
          <w:rtl/>
          <w:lang w:bidi="ar-DZ"/>
        </w:rPr>
        <w:lastRenderedPageBreak/>
        <w:t xml:space="preserve">النظرة المفصلة أو المجملة   فإبراهيم إبراهيم بركات مثلا تعرض في تفصيله إلى الجزئيات في حين أن السيوطي قدمها مجملة ولا يفهم من هذا أبدا أن المفصلين قد جاؤو بما لم يأت به المجملون.  </w:t>
      </w:r>
    </w:p>
    <w:p w:rsidR="00A76EAB" w:rsidRPr="00CF7AE8" w:rsidRDefault="00A76EAB" w:rsidP="00A76EAB">
      <w:pPr>
        <w:ind w:firstLine="48"/>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جـ- التجرد من العوامل اللفظية:</w:t>
      </w:r>
      <w:r w:rsidRPr="00CF7AE8">
        <w:rPr>
          <w:rFonts w:ascii="Simplified Arabic" w:hAnsi="Simplified Arabic" w:cs="Simplified Arabic"/>
          <w:sz w:val="32"/>
          <w:szCs w:val="32"/>
          <w:rtl/>
          <w:lang w:bidi="ar-DZ"/>
        </w:rPr>
        <w:t xml:space="preserve"> يجب أن يكون المبتدأ مجردا من العوامل اللفظية التي تؤثر فيه نحويا، والمقصود بها الأفعال والحروف التي تختص بالدخول على الجملة الاسمية فتنسخها ومثال الأولى كان وأخواتها (ظل، أضحى، أمسى، بات، صار، أصبح، ليس، ما برح ، مـازال ما انفك، ما فتىء) وأفعال المقاربة (كاد، أوشك، كرب) وأفعال الرجاء (عسى، حرى، أخلولق ) وأفعال الشروع وهي كثيرة منها(طفق، أنشأ، أخذ، بدأ، انبرى ) وتسمى هذه الأفعال( أفعال المقاربة والرجاء والشروع ) وأفعال القلوب ظن وأخواتها (</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ظن، حسب خال، زعم، عـدّ  رأى، علم، وجد، ألفى، دري، صبّر، ردّ، ترك، تخذ، اتخذ، جعل) وهي أفعال ناسخة مثل كان وكاد لكنها ليست أفعالا ناقصة، بل هي تامة لها فاعل وليس لها اسم ولا خبر، وإنما يعرب المبتدأ والخبر بعدها على أنهما مفعولان لها، نحو: الاختبار صعب (</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الاختبار) مبتدأ مرفوع خبره (صعب) وفي: ظن التلميذ الاختبار صعبا، فـ (الاختبار) مفعول به أول منصوب، (صعبا) مفعول به ثان منصوب. ومثال الثانية: إن وأخواتها (إن، أن، كأن، ولكن، ليت، لعل) والحروف التي تعمل عمل ليس (ما الحجازية، لا، إنْ، لات) و (لا) النافية للجنس، وحروف الجر، كأن يقع حرف الجر زائدا قبل المبتدأ فيتأثر المبتدأ لفظا، لكنه لا يتأثر إعرابيا، حيث يحتفظ بإبتدائيته ويكون ذلك بعد (الباء، من، ربّ، الواو النائبة عن ربّ)، نحو: (بحسبك) الباء حرف جر زائد (حسب) مبتدأ مرفوع وعلامة رفعه الضمة المقدرة منع من ظهورها اشتغال المحل بحركة حرف الجر الزائد.ونحو قول النابغة الذبياني.</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lastRenderedPageBreak/>
        <w:t>وقفت فيها أُصَيْلاَنًا أسائلها     عي</w:t>
      </w:r>
      <w:r w:rsidRPr="00CF7AE8">
        <w:rPr>
          <w:rFonts w:ascii="Simplified Arabic" w:hAnsi="Simplified Arabic" w:cs="Simplified Arabic"/>
          <w:sz w:val="32"/>
          <w:szCs w:val="32"/>
          <w:rtl/>
          <w:lang w:val="fr-FR"/>
        </w:rPr>
        <w:t>ّ</w:t>
      </w:r>
      <w:r w:rsidRPr="00CF7AE8">
        <w:rPr>
          <w:rFonts w:ascii="Simplified Arabic" w:hAnsi="Simplified Arabic" w:cs="Simplified Arabic"/>
          <w:sz w:val="32"/>
          <w:szCs w:val="32"/>
          <w:rtl/>
          <w:lang w:bidi="ar-DZ"/>
        </w:rPr>
        <w:t>ت جوابا وما بالربع من أحد</w:t>
      </w:r>
      <w:r>
        <w:rPr>
          <w:rStyle w:val="Appelnotedebasdep"/>
          <w:rFonts w:ascii="Simplified Arabic" w:hAnsi="Simplified Arabic" w:cs="Simplified Arabic"/>
          <w:sz w:val="32"/>
          <w:szCs w:val="32"/>
          <w:rtl/>
          <w:lang w:bidi="ar-DZ"/>
        </w:rPr>
        <w:footnoteReference w:customMarkFollows="1" w:id="24"/>
        <w:t>1</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(من أحد) فـ (من) حرف جر زائد، و(أحد)مبتدأ مؤخر مرفوع بالضمة المقدرة منع من ظهورها اشتغال المحل بحركة حرف الجر الزائد.</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هـ- الإخبار عنه:</w:t>
      </w:r>
      <w:r w:rsidRPr="00CF7AE8">
        <w:rPr>
          <w:rFonts w:ascii="Simplified Arabic" w:hAnsi="Simplified Arabic" w:cs="Simplified Arabic"/>
          <w:sz w:val="32"/>
          <w:szCs w:val="32"/>
          <w:rtl/>
          <w:lang w:bidi="ar-DZ"/>
        </w:rPr>
        <w:t xml:space="preserve"> من المعلوم أن الجملة الاسمية تنشأ مكونة من رابط بين المتكلم والمستمع بغرض نقل معنى مبني على اسم (مبتدأ) من المتحدث إلى المستمع أو القارىء وهو المعنى الكامن في الخبر وصفة الإخبار عن المبتدأ مهمة جدا.</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و- المعلومية: </w:t>
      </w:r>
      <w:r w:rsidRPr="00CF7AE8">
        <w:rPr>
          <w:rFonts w:ascii="Simplified Arabic" w:hAnsi="Simplified Arabic" w:cs="Simplified Arabic"/>
          <w:sz w:val="32"/>
          <w:szCs w:val="32"/>
          <w:rtl/>
          <w:lang w:bidi="ar-DZ"/>
        </w:rPr>
        <w:t>تتشكل الجملة الاسمية من طرفين أحدهما معلوم، وهو منشأ الحديث وأساسه بين طرفي الكلام (المتحدث والمستمع) والثاني مجهول يبني على الطرف المعلوم، لذا تصدّر المعلوم صدر الجملة الاسمية « ولا يعقل أن نتخيل جملة بلا طرف معلوم»</w:t>
      </w:r>
      <w:r>
        <w:rPr>
          <w:rStyle w:val="Appelnotedebasdep"/>
          <w:rFonts w:ascii="Simplified Arabic" w:hAnsi="Simplified Arabic" w:cs="Simplified Arabic"/>
          <w:sz w:val="32"/>
          <w:szCs w:val="32"/>
          <w:rtl/>
          <w:lang w:bidi="ar-DZ"/>
        </w:rPr>
        <w:footnoteReference w:customMarkFollows="1" w:id="25"/>
        <w:t>2</w:t>
      </w:r>
      <w:r w:rsidRPr="00CF7AE8">
        <w:rPr>
          <w:rFonts w:ascii="Simplified Arabic" w:hAnsi="Simplified Arabic" w:cs="Simplified Arabic"/>
          <w:sz w:val="32"/>
          <w:szCs w:val="32"/>
          <w:rtl/>
          <w:lang w:bidi="ar-DZ"/>
        </w:rPr>
        <w:t>. ونستطيع أن نلتمس معلومية ما يبتدأ به بين طرفي الحديث من قول سيبويه: « فإذا قلت:</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كان زيد فقد ابتدأت بما هو معروف عنده مثله عندك،فإنما ينتظر الخبر فإذا قلت:حليما فقد أعلمته مثل ما علمت»</w:t>
      </w:r>
      <w:r>
        <w:rPr>
          <w:rStyle w:val="Appelnotedebasdep"/>
          <w:rFonts w:ascii="Simplified Arabic" w:hAnsi="Simplified Arabic" w:cs="Simplified Arabic"/>
          <w:sz w:val="32"/>
          <w:szCs w:val="32"/>
          <w:rtl/>
          <w:lang w:bidi="ar-DZ"/>
        </w:rPr>
        <w:footnoteReference w:customMarkFollows="1" w:id="26"/>
        <w:t>3</w:t>
      </w:r>
      <w:r w:rsidRPr="00CF7AE8">
        <w:rPr>
          <w:rFonts w:ascii="Simplified Arabic" w:hAnsi="Simplified Arabic" w:cs="Simplified Arabic"/>
          <w:sz w:val="32"/>
          <w:szCs w:val="32"/>
          <w:rtl/>
          <w:lang w:bidi="ar-DZ"/>
        </w:rPr>
        <w:t>.ويمكن أن تكون هذه المعلومية افتراضية كأن تقول : ( طالب مجتهد دخل ) حيث المعلومية تفترض  في وصف المبتدأ، كما يجب أن تكون حقيقية بين طرفي الحديث فإذا قلت (الأستــــاذ قد دخل ) فيجب أن يكون الأستاذ معهودا بين المتحدث والمستمع.</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lastRenderedPageBreak/>
        <w:t>تقديم المبتدأ على الخبر:</w:t>
      </w:r>
      <w:r w:rsidRPr="00CF7AE8">
        <w:rPr>
          <w:rFonts w:ascii="Simplified Arabic" w:hAnsi="Simplified Arabic" w:cs="Simplified Arabic"/>
          <w:sz w:val="32"/>
          <w:szCs w:val="32"/>
          <w:rtl/>
          <w:lang w:bidi="ar-DZ"/>
        </w:rPr>
        <w:t xml:space="preserve"> الأصل في المبتدأ أن يتقدم على الخبر نحو: الطالب مجتهد، فنحكم على الطالب بالاجتهاد، وأما عن المواضع التي يجب أن يتقدم فيها المبتدأ وجوبا فهي:</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1-</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المبتدأ من الأسماء التي لها حق الصدارة (كم الخبرية، كم الاستفهامية، اسم موصول، ضمير منفصل، اسم شرط، اسم استفهام، ما التعجبية)</w:t>
      </w:r>
      <w:r w:rsidRPr="00CF7AE8">
        <w:rPr>
          <w:rFonts w:ascii="Simplified Arabic" w:hAnsi="Simplified Arabic" w:cs="Simplified Arabic"/>
          <w:sz w:val="32"/>
          <w:szCs w:val="32"/>
          <w:lang w:bidi="ar-DZ"/>
        </w:rPr>
        <w:t>.</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2-</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يتفق المبتدأ والخبر في التعريف والتنكير بحيث يصلح كل منهما أن يكون مبتدأ فيجب تقديم المبتدأ حتى لا يختلط المحكوم به بالمحكوم عليه،نحو: الجزائر بلادي.</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3-</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الخبر محصورا بإلا، ولا يجوز التقديم حتى يزول الحصر، نحو: ما أنت إلا بطل.</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4-</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الخبر جملة طلبية نحو: أخوك انصره،معلمك لا تغضبه.</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5-</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في الخبر ضمير مستتر يرجع إلى المبتدأ، نحو: النهر يسقى بمائه الحقلُ.</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6-</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المبتدأ مشبها بأسماء الشرط، نحو: كل طالب يجتهد فهو ناجح.</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7-</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يكون مضاف إلى ماله حق الصدارة، نحو: قلم من عندك.</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8-</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اتصلت به لام الابتداء،لأن لها حق الصدارة، فـتقدم على المـبتدأ الذي دخلت عليه نحو: لأنت أحب الناس إلي.</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9-</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أن يقترن الخبر بالفاء وكان المبتدأ بعد أما، نحو: أما المال فنعمة.</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10-</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اقترن الخبر بحرف الجر الزائد، نحو: ما خالد بكاتب.</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lastRenderedPageBreak/>
        <w:t>11-</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يتقدم المبتدأ على الخبر الذي فصل بضمير فصل، نحو: خالد هو القائد.</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12-</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 xml:space="preserve">المبتدأ الذي يتعدده خبره، نحو: الطالب مجد ذكي. </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13-</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 xml:space="preserve">ضمير الشأن الذي يتقدم خبره، نحو: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 xml:space="preserve">قُلْ هُوَ اللهُ أَحَدٌ </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lang w:val="fr-FR" w:bidi="ar-DZ"/>
        </w:rPr>
        <w:t xml:space="preserve"> </w:t>
      </w:r>
      <w:r w:rsidRPr="00CF7AE8">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val="fr-FR" w:bidi="ar-DZ"/>
        </w:rPr>
        <w:t>[</w:t>
      </w:r>
      <w:r w:rsidRPr="00CF7AE8">
        <w:rPr>
          <w:rFonts w:ascii="Simplified Arabic" w:hAnsi="Simplified Arabic" w:cs="Simplified Arabic"/>
          <w:sz w:val="32"/>
          <w:szCs w:val="32"/>
          <w:rtl/>
          <w:lang w:bidi="ar-DZ"/>
        </w:rPr>
        <w:t>الصمد: 1</w:t>
      </w:r>
      <w:r>
        <w:rPr>
          <w:rFonts w:ascii="Simplified Arabic" w:hAnsi="Simplified Arabic" w:cs="Simplified Arabic" w:hint="cs"/>
          <w:sz w:val="32"/>
          <w:szCs w:val="32"/>
          <w:rtl/>
          <w:lang w:bidi="ar-DZ"/>
        </w:rPr>
        <w:t>]</w:t>
      </w:r>
      <w:r w:rsidRPr="00CF7AE8">
        <w:rPr>
          <w:rFonts w:ascii="Simplified Arabic" w:hAnsi="Simplified Arabic" w:cs="Simplified Arabic"/>
          <w:sz w:val="32"/>
          <w:szCs w:val="32"/>
          <w:rtl/>
          <w:lang w:bidi="ar-DZ"/>
        </w:rPr>
        <w:t>.</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b/>
          <w:bCs/>
          <w:sz w:val="32"/>
          <w:szCs w:val="32"/>
          <w:rtl/>
          <w:lang w:bidi="ar-DZ"/>
        </w:rPr>
        <w:t>حذف المبتدأ:</w:t>
      </w:r>
      <w:r w:rsidRPr="00CF7AE8">
        <w:rPr>
          <w:rFonts w:ascii="Simplified Arabic" w:hAnsi="Simplified Arabic" w:cs="Simplified Arabic"/>
          <w:sz w:val="32"/>
          <w:szCs w:val="32"/>
          <w:rtl/>
          <w:lang w:bidi="ar-DZ"/>
        </w:rPr>
        <w:t xml:space="preserve"> المبتدأ ركن أساسي في الجملة الاسمية ، إلا أنه قد يحذف منها لدليل يدل عليه</w:t>
      </w:r>
      <w:r w:rsidRPr="00CF7AE8">
        <w:rPr>
          <w:rStyle w:val="Appelnotedebasdep"/>
          <w:rFonts w:ascii="Simplified Arabic" w:hAnsi="Simplified Arabic" w:cs="Simplified Arabic"/>
          <w:sz w:val="32"/>
          <w:szCs w:val="32"/>
          <w:rtl/>
          <w:lang w:bidi="ar-DZ"/>
        </w:rPr>
        <w:footnoteReference w:customMarkFollows="1" w:id="27"/>
        <w:t>1</w:t>
      </w:r>
      <w:r w:rsidRPr="00CF7AE8">
        <w:rPr>
          <w:rFonts w:ascii="Simplified Arabic" w:hAnsi="Simplified Arabic" w:cs="Simplified Arabic"/>
          <w:sz w:val="32"/>
          <w:szCs w:val="32"/>
          <w:rtl/>
          <w:lang w:bidi="ar-DZ"/>
        </w:rPr>
        <w:t xml:space="preserve"> في سياق الكلام، ولكن يتصور وجوده ويتمثله الذهن على حذفه، ويحذف جوازا في الحالات التالية:</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1-</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كان في سياق الكلام دلالة واضحة عليه، نحو: شجرة، وأنت ترى شجرة وتشير إليها.</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2-</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كان جوابا لسؤال، نحو: أين الطالب؟ الجواب (...) في القســـم فالمبتدأ محذوف والتقدير: الطالب أو هو في القسم (في القسم) جار ومجرور متعلق بمبتدأ محذوف، ويحذف وجوبا في الحالات التالية:</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1-</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أخبر عن المبتدأ بلفظ صريح في القَسَم، نحو: في ذمتي لأطلبن العلم (في ذمتي)خبر لمبتدأ محذوف تقديره :في ذمتي قسم أو عهد أو يمين.</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2-</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المخصوص بالمدح أو الذم، نحو: نعم الصديق سمير وبئس الصديق صديق المنفعة فـ (سمير) و(صديق) كل منهما خبر لمبتدأ محذوف تقديره: هو.</w:t>
      </w:r>
    </w:p>
    <w:p w:rsidR="00A76EAB" w:rsidRPr="00CF7AE8" w:rsidRDefault="00A76EAB" w:rsidP="00A76EAB">
      <w:pPr>
        <w:ind w:firstLine="48"/>
        <w:jc w:val="both"/>
        <w:rPr>
          <w:rFonts w:ascii="Simplified Arabic" w:hAnsi="Simplified Arabic" w:cs="Simplified Arabic"/>
          <w:color w:val="FF0000"/>
          <w:sz w:val="32"/>
          <w:szCs w:val="32"/>
          <w:lang w:bidi="ar-DZ"/>
        </w:rPr>
      </w:pPr>
      <w:r w:rsidRPr="00CF7AE8">
        <w:rPr>
          <w:rFonts w:ascii="Simplified Arabic" w:hAnsi="Simplified Arabic" w:cs="Simplified Arabic"/>
          <w:sz w:val="32"/>
          <w:szCs w:val="32"/>
          <w:rtl/>
          <w:lang w:bidi="ar-DZ"/>
        </w:rPr>
        <w:t>3-</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إذا كان خبر المبتدأ مصدرا نائبا عن فعله، نحو:عمل عظيم، فـ (عمل)خبر لمبتدأ محذوف (عظيم) نعت مرفوع بالضمة والتقدير: اعمل عملا عظيما، وأصل العمل مفعول مطلق منصوب بالفتحة.</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lastRenderedPageBreak/>
        <w:t>4-</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النعت المقطوع عن منعوته أي كان الخبر في الأصل نعتا ثم انقطع عن النعتية ليكون ظرفا في جملة، نحو: شاهدت عليا المسكين فـ (المسكين) خبر لمبتدأ محذوف تقديره: هو. مرفوع وعلامة رفعه الضمة الظاهرة.</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5-</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الاسم المرفوع بعد لاسيَّما، نحو: أحب العلم لاسيَّما النحو، لاسيما:لا نافية للجنس حرف مبني على السكون لا محل له من الإعراب.</w:t>
      </w:r>
    </w:p>
    <w:p w:rsidR="00A76EAB" w:rsidRPr="00CF7AE8" w:rsidRDefault="00A76EAB" w:rsidP="00A76EAB">
      <w:pPr>
        <w:ind w:firstLine="48"/>
        <w:jc w:val="both"/>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 xml:space="preserve">سي: اسم لا منصوب  بالفتحة الظاهرة، وخبر لا محذوف وتقديره  موجود </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ما: اسم موصول مبني على السكون في محل جر مضاف إليه.</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النحو: خبر لمبتدأ محذوف تقديره هو مرفوع بالضمة الظاهرة والجملة من المبتدأ والخبر صلة الموصول لا محل لها من الإعراب.</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العامل الإعرابي في المبتدأ والخبر: </w:t>
      </w:r>
      <w:r w:rsidRPr="00CF7AE8">
        <w:rPr>
          <w:rFonts w:ascii="Simplified Arabic" w:hAnsi="Simplified Arabic" w:cs="Simplified Arabic"/>
          <w:sz w:val="32"/>
          <w:szCs w:val="32"/>
          <w:rtl/>
          <w:lang w:bidi="ar-DZ"/>
        </w:rPr>
        <w:t>المبتدأ والخبر مرفوعان أبدا ما داما خاليين</w:t>
      </w:r>
      <w:r w:rsidRPr="00CF7AE8">
        <w:rPr>
          <w:rFonts w:ascii="Simplified Arabic" w:hAnsi="Simplified Arabic" w:cs="Simplified Arabic"/>
          <w:b/>
          <w:bCs/>
          <w:sz w:val="32"/>
          <w:szCs w:val="32"/>
          <w:rtl/>
          <w:lang w:bidi="ar-DZ"/>
        </w:rPr>
        <w:t xml:space="preserve"> </w:t>
      </w:r>
      <w:r w:rsidRPr="00CF7AE8">
        <w:rPr>
          <w:rFonts w:ascii="Simplified Arabic" w:hAnsi="Simplified Arabic" w:cs="Simplified Arabic"/>
          <w:sz w:val="32"/>
          <w:szCs w:val="32"/>
          <w:rtl/>
          <w:lang w:bidi="ar-DZ"/>
        </w:rPr>
        <w:t>من العوامل النحوية المؤثرة، وقد« أجهد النحاة أنفسهم في عامل الرفع في كل منهما»</w:t>
      </w:r>
      <w:r>
        <w:rPr>
          <w:rStyle w:val="Appelnotedebasdep"/>
          <w:rFonts w:ascii="Simplified Arabic" w:hAnsi="Simplified Arabic" w:cs="Simplified Arabic"/>
          <w:sz w:val="32"/>
          <w:szCs w:val="32"/>
          <w:rtl/>
          <w:lang w:bidi="ar-DZ"/>
        </w:rPr>
        <w:footnoteReference w:customMarkFollows="1" w:id="28"/>
        <w:t>1</w:t>
      </w:r>
      <w:r w:rsidRPr="00CF7AE8">
        <w:rPr>
          <w:rFonts w:ascii="Simplified Arabic" w:hAnsi="Simplified Arabic" w:cs="Simplified Arabic"/>
          <w:sz w:val="32"/>
          <w:szCs w:val="32"/>
          <w:rtl/>
          <w:lang w:bidi="ar-DZ"/>
        </w:rPr>
        <w:t xml:space="preserve"> واختلفوا فيما بينهم على النحو التالي:</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 يذهب سيبويه إلى أن المبتدأ يرفع لمنزلته في الابتداء ، أما الخبر فإنه يــرفع لأنه مبني على المبـتدأ </w:t>
      </w:r>
      <w:r>
        <w:rPr>
          <w:rStyle w:val="Appelnotedebasdep"/>
          <w:rFonts w:ascii="Simplified Arabic" w:hAnsi="Simplified Arabic" w:cs="Simplified Arabic"/>
          <w:sz w:val="32"/>
          <w:szCs w:val="32"/>
          <w:rtl/>
          <w:lang w:bidi="ar-DZ"/>
        </w:rPr>
        <w:footnoteReference w:customMarkFollows="1" w:id="29"/>
        <w:t>2</w:t>
      </w:r>
      <w:r w:rsidRPr="00CF7AE8">
        <w:rPr>
          <w:rFonts w:ascii="Simplified Arabic" w:hAnsi="Simplified Arabic" w:cs="Simplified Arabic"/>
          <w:sz w:val="32"/>
          <w:szCs w:val="32"/>
          <w:rtl/>
          <w:lang w:bidi="ar-DZ"/>
        </w:rPr>
        <w:t xml:space="preserve"> .</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ويذهب المحققون من البصـريين وعلى رأسهم الأخفــش ( 211 هـ  ) وابن الـسراج  والرماني ( 384هـ ) إلى أن العامل في المبتدأ والخبر معا عامل معنوي وهو الابتداء، لأنه طالب لهما، فعمل فيهما</w:t>
      </w:r>
      <w:r>
        <w:rPr>
          <w:rStyle w:val="Appelnotedebasdep"/>
          <w:rFonts w:ascii="Simplified Arabic" w:hAnsi="Simplified Arabic" w:cs="Simplified Arabic"/>
          <w:sz w:val="32"/>
          <w:szCs w:val="32"/>
          <w:rtl/>
          <w:lang w:bidi="ar-DZ"/>
        </w:rPr>
        <w:footnoteReference w:customMarkFollows="1" w:id="30"/>
        <w:t>3</w:t>
      </w:r>
      <w:r w:rsidRPr="00CF7AE8">
        <w:rPr>
          <w:rFonts w:ascii="Simplified Arabic" w:hAnsi="Simplified Arabic" w:cs="Simplified Arabic"/>
          <w:sz w:val="32"/>
          <w:szCs w:val="32"/>
          <w:rtl/>
          <w:lang w:bidi="ar-DZ"/>
        </w:rPr>
        <w:t xml:space="preserve">، وفي مذهب الجرمي (225 </w:t>
      </w:r>
      <w:r w:rsidRPr="00CF7AE8">
        <w:rPr>
          <w:rFonts w:ascii="Simplified Arabic" w:hAnsi="Simplified Arabic" w:cs="Simplified Arabic"/>
          <w:sz w:val="32"/>
          <w:szCs w:val="32"/>
          <w:rtl/>
          <w:lang w:bidi="ar-DZ"/>
        </w:rPr>
        <w:lastRenderedPageBreak/>
        <w:t>هـ ) وكثير من البصريين أنهما يرفعان لأنهما مجردان من العوامل اللفظية للإسناد</w:t>
      </w:r>
      <w:r>
        <w:rPr>
          <w:rStyle w:val="Appelnotedebasdep"/>
          <w:rFonts w:ascii="Simplified Arabic" w:hAnsi="Simplified Arabic" w:cs="Simplified Arabic"/>
          <w:sz w:val="32"/>
          <w:szCs w:val="32"/>
          <w:rtl/>
          <w:lang w:bidi="ar-DZ"/>
        </w:rPr>
        <w:footnoteReference w:customMarkFollows="1" w:id="31"/>
        <w:t>4</w:t>
      </w:r>
      <w:r w:rsidRPr="00CF7AE8">
        <w:rPr>
          <w:rFonts w:ascii="Simplified Arabic" w:hAnsi="Simplified Arabic" w:cs="Simplified Arabic"/>
          <w:sz w:val="32"/>
          <w:szCs w:val="32"/>
          <w:rtl/>
          <w:lang w:bidi="ar-DZ"/>
        </w:rPr>
        <w:t>.</w:t>
      </w:r>
    </w:p>
    <w:p w:rsidR="00A76EAB" w:rsidRPr="00CF7AE8" w:rsidRDefault="00A76EAB" w:rsidP="00A76EAB">
      <w:pPr>
        <w:ind w:firstLine="48"/>
        <w:jc w:val="both"/>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footnoteReference w:customMarkFollows="1" w:id="32"/>
        <w:t>- ويذهب الكوفيون وعلى رأسهم الكسائي (ت189هـ) والفراء ( 207 هـ ) إلى أنهما ترافعا، فالمبتدأ يرتفع بالخبر، والخبر يرتفع بالمبتدأ، لأن كلا منهما طالب للآخر ومحتاج له وبه صار عمدة، كما ينسب هذا الرأي لابن جني (392هـ) وأبي حيان (745 هـ ) وهو المختارلدى السيوطي(911هـ)</w:t>
      </w:r>
      <w:r>
        <w:rPr>
          <w:rStyle w:val="Appelnotedebasdep"/>
          <w:rFonts w:ascii="Simplified Arabic" w:hAnsi="Simplified Arabic" w:cs="Simplified Arabic"/>
          <w:sz w:val="32"/>
          <w:szCs w:val="32"/>
          <w:rtl/>
          <w:lang w:bidi="ar-DZ"/>
        </w:rPr>
        <w:footnoteReference w:customMarkFollows="1" w:id="33"/>
        <w:t>5</w:t>
      </w:r>
      <w:r w:rsidRPr="00CF7AE8">
        <w:rPr>
          <w:rFonts w:ascii="Simplified Arabic" w:hAnsi="Simplified Arabic" w:cs="Simplified Arabic"/>
          <w:sz w:val="32"/>
          <w:szCs w:val="32"/>
          <w:rtl/>
          <w:lang w:bidi="ar-DZ"/>
        </w:rPr>
        <w:t>. وقد يأتي المبتدأ مجرورا لفظا مرفوعا محلا إذا كان مسبوقا بحرف جر زائد نحو: بحسبك الله فالباء حرف جر زائد، (حسب) مبتدأ مرفوع تقديرا لاشتغال المحل بحركة حرف الجر الزائدة، أو بحرف جر شبيه بالزائدة نحو قول الشاعر:</w:t>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(طويل)</w:t>
      </w:r>
    </w:p>
    <w:p w:rsidR="00A76EAB" w:rsidRPr="00CF7AE8" w:rsidRDefault="00A76EAB" w:rsidP="00A76EAB">
      <w:pPr>
        <w:ind w:firstLine="48"/>
        <w:jc w:val="center"/>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فقلت ادع أخرى وارفع الصوت جهرة    لعل أبي المغوار منك قريب</w:t>
      </w:r>
      <w:r>
        <w:rPr>
          <w:rStyle w:val="Appelnotedebasdep"/>
          <w:rFonts w:ascii="Simplified Arabic" w:hAnsi="Simplified Arabic" w:cs="Simplified Arabic"/>
          <w:sz w:val="32"/>
          <w:szCs w:val="32"/>
          <w:rtl/>
          <w:lang w:bidi="ar-DZ"/>
        </w:rPr>
        <w:footnoteReference w:customMarkFollows="1" w:id="34"/>
        <w:t>1</w:t>
      </w:r>
    </w:p>
    <w:p w:rsidR="006D3EBB" w:rsidRDefault="00A76EAB" w:rsidP="00A76EAB">
      <w:pPr>
        <w:ind w:firstLine="48"/>
        <w:jc w:val="both"/>
      </w:pPr>
      <w:r w:rsidRPr="00CF7AE8">
        <w:rPr>
          <w:rFonts w:ascii="Simplified Arabic" w:hAnsi="Simplified Arabic" w:cs="Simplified Arabic"/>
          <w:sz w:val="32"/>
          <w:szCs w:val="32"/>
          <w:rtl/>
          <w:lang w:bidi="ar-DZ"/>
        </w:rPr>
        <w:t>(لعل) حرف جر شبيه بالزائد</w:t>
      </w:r>
      <w:r>
        <w:rPr>
          <w:rStyle w:val="Appelnotedebasdep"/>
          <w:rFonts w:ascii="Simplified Arabic" w:hAnsi="Simplified Arabic" w:cs="Simplified Arabic"/>
          <w:sz w:val="32"/>
          <w:szCs w:val="32"/>
          <w:rtl/>
          <w:lang w:bidi="ar-DZ"/>
        </w:rPr>
        <w:footnoteReference w:customMarkFollows="1" w:id="35"/>
        <w:t>2</w:t>
      </w:r>
      <w:r w:rsidRPr="00CF7AE8">
        <w:rPr>
          <w:rFonts w:ascii="Simplified Arabic" w:hAnsi="Simplified Arabic" w:cs="Simplified Arabic"/>
          <w:sz w:val="32"/>
          <w:szCs w:val="32"/>
          <w:rtl/>
          <w:lang w:bidi="ar-DZ"/>
        </w:rPr>
        <w:t xml:space="preserve"> و(أبي) مبتدأ مرفوع بالواو تقديرا منع من ظهوره اشتغال المحل بحركة حرف الجر الشبيه بالزائد(وهي الياء) وخبره (قريب)مرفوع بالضمة</w:t>
      </w:r>
      <w:r>
        <w:rPr>
          <w:rFonts w:ascii="Simplified Arabic" w:hAnsi="Simplified Arabic" w:cs="Simplified Arabic" w:hint="cs"/>
          <w:sz w:val="32"/>
          <w:szCs w:val="32"/>
          <w:rtl/>
          <w:lang w:bidi="ar-DZ"/>
        </w:rPr>
        <w:t>.</w:t>
      </w:r>
    </w:p>
    <w:sectPr w:rsidR="006D3EBB" w:rsidSect="006D3E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51E" w:rsidRDefault="00B3351E" w:rsidP="00A76EAB">
      <w:pPr>
        <w:spacing w:after="0" w:line="240" w:lineRule="auto"/>
      </w:pPr>
      <w:r>
        <w:separator/>
      </w:r>
    </w:p>
  </w:endnote>
  <w:endnote w:type="continuationSeparator" w:id="1">
    <w:p w:rsidR="00B3351E" w:rsidRDefault="00B3351E" w:rsidP="00A76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51E" w:rsidRDefault="00B3351E" w:rsidP="00A76EAB">
      <w:pPr>
        <w:spacing w:after="0" w:line="240" w:lineRule="auto"/>
      </w:pPr>
      <w:r>
        <w:separator/>
      </w:r>
    </w:p>
  </w:footnote>
  <w:footnote w:type="continuationSeparator" w:id="1">
    <w:p w:rsidR="00B3351E" w:rsidRDefault="00B3351E" w:rsidP="00A76EAB">
      <w:pPr>
        <w:spacing w:after="0" w:line="240" w:lineRule="auto"/>
      </w:pPr>
      <w:r>
        <w:continuationSeparator/>
      </w:r>
    </w:p>
  </w:footnote>
  <w:footnote w:id="2">
    <w:p w:rsidR="00A76EAB" w:rsidRDefault="00A76EAB" w:rsidP="00A76EAB">
      <w:pPr>
        <w:pStyle w:val="Notedebasdepage"/>
        <w:jc w:val="both"/>
        <w:rPr>
          <w:rFonts w:cs="Traditional Arabic"/>
          <w:sz w:val="24"/>
          <w:rtl/>
          <w:lang w:bidi="ar-DZ"/>
        </w:rPr>
      </w:pPr>
      <w:r>
        <w:rPr>
          <w:rStyle w:val="Appelnotedebasdep"/>
          <w:rFonts w:cs="Traditional Arabic"/>
          <w:sz w:val="24"/>
        </w:rPr>
        <w:footnoteRef/>
      </w:r>
      <w:r>
        <w:rPr>
          <w:rFonts w:cs="Traditional Arabic"/>
          <w:sz w:val="24"/>
        </w:rPr>
        <w:t xml:space="preserve"> </w:t>
      </w:r>
      <w:r>
        <w:rPr>
          <w:rFonts w:cs="Traditional Arabic"/>
          <w:sz w:val="24"/>
          <w:rtl/>
        </w:rPr>
        <w:t>- سيبويه، الكتاب، ج2، ص 126.</w:t>
      </w:r>
    </w:p>
  </w:footnote>
  <w:footnote w:id="3">
    <w:p w:rsidR="00A76EAB" w:rsidRDefault="00A76EAB" w:rsidP="00A76EAB">
      <w:pPr>
        <w:pStyle w:val="Notedebasdepage"/>
        <w:jc w:val="both"/>
        <w:rPr>
          <w:rFonts w:cs="Traditional Arabic"/>
          <w:sz w:val="24"/>
          <w:rtl/>
          <w:lang w:bidi="ar-DZ"/>
        </w:rPr>
      </w:pPr>
      <w:r>
        <w:rPr>
          <w:rStyle w:val="Appelnotedebasdep"/>
          <w:rFonts w:cs="Traditional Arabic"/>
          <w:sz w:val="24"/>
        </w:rPr>
        <w:footnoteRef/>
      </w:r>
      <w:r>
        <w:rPr>
          <w:rFonts w:cs="Traditional Arabic"/>
          <w:sz w:val="24"/>
        </w:rPr>
        <w:t xml:space="preserve"> </w:t>
      </w:r>
      <w:r>
        <w:rPr>
          <w:rFonts w:cs="Traditional Arabic" w:hint="cs"/>
          <w:sz w:val="24"/>
          <w:rtl/>
        </w:rPr>
        <w:t>-</w:t>
      </w:r>
      <w:r>
        <w:rPr>
          <w:rFonts w:cs="Traditional Arabic"/>
          <w:sz w:val="24"/>
          <w:rtl/>
        </w:rPr>
        <w:t xml:space="preserve"> </w:t>
      </w:r>
      <w:r>
        <w:rPr>
          <w:rFonts w:cs="Traditional Arabic" w:hint="cs"/>
          <w:sz w:val="24"/>
          <w:rtl/>
        </w:rPr>
        <w:t>عبد القاهر الجرجاني، دلائل الإعجاز في علم المعاني، ص 212.</w:t>
      </w:r>
    </w:p>
  </w:footnote>
  <w:footnote w:id="4">
    <w:p w:rsidR="00A76EAB" w:rsidRDefault="00A76EAB" w:rsidP="00A76EAB">
      <w:pPr>
        <w:pStyle w:val="Notedebasdepage"/>
        <w:jc w:val="both"/>
        <w:rPr>
          <w:rFonts w:cs="Traditional Arabic"/>
          <w:sz w:val="24"/>
          <w:rtl/>
          <w:lang w:bidi="ar-DZ"/>
        </w:rPr>
      </w:pPr>
      <w:r>
        <w:rPr>
          <w:rStyle w:val="Appelnotedebasdep"/>
          <w:rFonts w:cs="Traditional Arabic"/>
          <w:sz w:val="24"/>
        </w:rPr>
        <w:footnoteRef/>
      </w:r>
      <w:r>
        <w:rPr>
          <w:rFonts w:cs="Traditional Arabic"/>
          <w:sz w:val="24"/>
        </w:rPr>
        <w:t xml:space="preserve"> </w:t>
      </w:r>
      <w:r>
        <w:rPr>
          <w:rFonts w:cs="Traditional Arabic"/>
          <w:sz w:val="24"/>
          <w:rtl/>
        </w:rPr>
        <w:t xml:space="preserve">- محمد سمير نجيب اللبدي، معجم المصطلحات النحوية، ص17. </w:t>
      </w:r>
    </w:p>
  </w:footnote>
  <w:footnote w:id="5">
    <w:p w:rsidR="00A76EAB" w:rsidRDefault="00A76EAB" w:rsidP="00A76EAB">
      <w:pPr>
        <w:pStyle w:val="Notedebasdepage"/>
        <w:jc w:val="both"/>
        <w:rPr>
          <w:rFonts w:cs="Traditional Arabic"/>
          <w:sz w:val="24"/>
          <w:rtl/>
          <w:lang w:bidi="ar-DZ"/>
        </w:rPr>
      </w:pPr>
      <w:r>
        <w:rPr>
          <w:rStyle w:val="Appelnotedebasdep"/>
          <w:rFonts w:cs="Traditional Arabic"/>
          <w:sz w:val="24"/>
        </w:rPr>
        <w:footnoteRef/>
      </w:r>
      <w:r>
        <w:rPr>
          <w:rFonts w:cs="Traditional Arabic"/>
          <w:sz w:val="24"/>
        </w:rPr>
        <w:t xml:space="preserve"> </w:t>
      </w:r>
      <w:r>
        <w:rPr>
          <w:rFonts w:cs="Traditional Arabic"/>
          <w:sz w:val="24"/>
          <w:rtl/>
        </w:rPr>
        <w:t xml:space="preserve"> </w:t>
      </w:r>
      <w:r>
        <w:rPr>
          <w:rFonts w:cs="Traditional Arabic" w:hint="cs"/>
          <w:sz w:val="24"/>
          <w:rtl/>
        </w:rPr>
        <w:t>- الجرجاني، التعريفات، ص 312.</w:t>
      </w:r>
    </w:p>
  </w:footnote>
  <w:footnote w:id="6">
    <w:p w:rsidR="00A76EAB" w:rsidRDefault="00A76EAB" w:rsidP="00A76EAB">
      <w:pPr>
        <w:pStyle w:val="Notedebasdepage"/>
        <w:jc w:val="both"/>
        <w:rPr>
          <w:rFonts w:cs="Traditional Arabic"/>
          <w:sz w:val="24"/>
          <w:rtl/>
          <w:lang w:bidi="ar-DZ"/>
        </w:rPr>
      </w:pPr>
      <w:r>
        <w:rPr>
          <w:rStyle w:val="Appelnotedebasdep"/>
          <w:rFonts w:cs="Traditional Arabic"/>
          <w:sz w:val="24"/>
        </w:rPr>
        <w:footnoteRef/>
      </w:r>
      <w:r>
        <w:rPr>
          <w:rFonts w:cs="Traditional Arabic"/>
          <w:sz w:val="24"/>
        </w:rPr>
        <w:t xml:space="preserve"> </w:t>
      </w:r>
      <w:r>
        <w:rPr>
          <w:rFonts w:cs="Traditional Arabic"/>
          <w:sz w:val="24"/>
          <w:rtl/>
        </w:rPr>
        <w:t xml:space="preserve"> - عباس حسن، النحو الوافي، ط5. مصر، دار المعارف، الجزء الأول، ص 444.</w:t>
      </w:r>
    </w:p>
  </w:footnote>
  <w:footnote w:id="7">
    <w:p w:rsidR="00A76EAB" w:rsidRDefault="00A76EAB" w:rsidP="00A76EAB">
      <w:pPr>
        <w:pStyle w:val="Notedebasdepage"/>
        <w:jc w:val="both"/>
        <w:rPr>
          <w:rFonts w:cs="Traditional Arabic"/>
          <w:sz w:val="24"/>
          <w:rtl/>
          <w:lang w:bidi="ar-DZ"/>
        </w:rPr>
      </w:pPr>
      <w:r>
        <w:rPr>
          <w:rStyle w:val="Appelnotedebasdep"/>
          <w:rtl/>
        </w:rPr>
        <w:t>1</w:t>
      </w:r>
      <w:r>
        <w:rPr>
          <w:rFonts w:cs="Traditional Arabic" w:hint="cs"/>
          <w:sz w:val="24"/>
          <w:lang w:val="fr-FR"/>
        </w:rPr>
        <w:t xml:space="preserve"> </w:t>
      </w:r>
      <w:r>
        <w:rPr>
          <w:rFonts w:cs="Traditional Arabic"/>
          <w:sz w:val="24"/>
          <w:rtl/>
        </w:rPr>
        <w:t>-</w:t>
      </w:r>
      <w:r>
        <w:rPr>
          <w:rFonts w:cs="Traditional Arabic" w:hint="cs"/>
          <w:sz w:val="24"/>
        </w:rPr>
        <w:t xml:space="preserve"> </w:t>
      </w:r>
      <w:r>
        <w:rPr>
          <w:rFonts w:cs="Traditional Arabic"/>
          <w:sz w:val="24"/>
          <w:rtl/>
        </w:rPr>
        <w:t>عبد القاهر الجرجاني، المقتصد في شرح الإيضاح، تح: كاظم، بحر المرجان. العراق:1982، دار الرشيد، ج1، ص 444.</w:t>
      </w:r>
    </w:p>
  </w:footnote>
  <w:footnote w:id="8">
    <w:p w:rsidR="00A76EAB" w:rsidRDefault="00A76EAB" w:rsidP="00A76EAB">
      <w:pPr>
        <w:pStyle w:val="Notedebasdepage"/>
        <w:jc w:val="both"/>
        <w:rPr>
          <w:rFonts w:cs="Traditional Arabic"/>
          <w:sz w:val="24"/>
          <w:rtl/>
          <w:lang w:bidi="ar-DZ"/>
        </w:rPr>
      </w:pPr>
      <w:r>
        <w:rPr>
          <w:rStyle w:val="Appelnotedebasdep"/>
          <w:rtl/>
        </w:rPr>
        <w:t>2</w:t>
      </w:r>
      <w:r>
        <w:rPr>
          <w:rFonts w:cs="Traditional Arabic" w:hint="cs"/>
          <w:sz w:val="24"/>
        </w:rPr>
        <w:t xml:space="preserve"> </w:t>
      </w:r>
      <w:r>
        <w:rPr>
          <w:rFonts w:cs="Traditional Arabic"/>
          <w:sz w:val="24"/>
          <w:rtl/>
        </w:rPr>
        <w:t>- جلال الدين عبد الرحمن بن أبي بكر السيوطي، الأشباه والنظائر، ط1. بيروت: 2001، دار الكتب العلمية، ص 46.</w:t>
      </w:r>
    </w:p>
  </w:footnote>
  <w:footnote w:id="9">
    <w:p w:rsidR="00A76EAB" w:rsidRDefault="00A76EAB" w:rsidP="00A76EAB">
      <w:pPr>
        <w:pStyle w:val="Notedebasdepage"/>
        <w:jc w:val="both"/>
        <w:rPr>
          <w:rFonts w:cs="Traditional Arabic"/>
          <w:sz w:val="24"/>
          <w:rtl/>
          <w:lang w:bidi="ar-DZ"/>
        </w:rPr>
      </w:pPr>
      <w:r>
        <w:rPr>
          <w:rStyle w:val="Appelnotedebasdep"/>
          <w:rtl/>
        </w:rPr>
        <w:t>3</w:t>
      </w:r>
      <w:r>
        <w:rPr>
          <w:rtl/>
        </w:rPr>
        <w:t xml:space="preserve"> </w:t>
      </w:r>
      <w:r>
        <w:rPr>
          <w:rFonts w:cs="Traditional Arabic"/>
          <w:sz w:val="24"/>
          <w:rtl/>
        </w:rPr>
        <w:t>-</w:t>
      </w:r>
      <w:r>
        <w:rPr>
          <w:rFonts w:cs="Traditional Arabic" w:hint="cs"/>
          <w:sz w:val="24"/>
          <w:lang w:val="fr-FR"/>
        </w:rPr>
        <w:t xml:space="preserve"> </w:t>
      </w:r>
      <w:r>
        <w:rPr>
          <w:rFonts w:cs="Traditional Arabic" w:hint="cs"/>
          <w:sz w:val="24"/>
        </w:rPr>
        <w:t xml:space="preserve"> </w:t>
      </w:r>
      <w:r>
        <w:rPr>
          <w:rFonts w:cs="Traditional Arabic"/>
          <w:sz w:val="24"/>
          <w:rtl/>
        </w:rPr>
        <w:t>إبراهيم إيراهيم بركات، النحو العربي،ط1.مصر: 2007، دار النشر للجامعات، القاهرة، ج1، ص 24.</w:t>
      </w:r>
    </w:p>
  </w:footnote>
  <w:footnote w:id="10">
    <w:p w:rsidR="00A76EAB" w:rsidRDefault="00A76EAB" w:rsidP="00A76EAB">
      <w:pPr>
        <w:pStyle w:val="Notedebasdepage"/>
        <w:jc w:val="both"/>
        <w:rPr>
          <w:rFonts w:cs="Traditional Arabic"/>
          <w:sz w:val="24"/>
          <w:rtl/>
          <w:lang w:bidi="ar-DZ"/>
        </w:rPr>
      </w:pPr>
      <w:r>
        <w:rPr>
          <w:rStyle w:val="Appelnotedebasdep"/>
          <w:rtl/>
        </w:rPr>
        <w:t>1</w:t>
      </w:r>
      <w:r>
        <w:rPr>
          <w:rFonts w:cs="Traditional Arabic"/>
          <w:sz w:val="24"/>
          <w:rtl/>
        </w:rPr>
        <w:t xml:space="preserve"> </w:t>
      </w:r>
      <w:r>
        <w:rPr>
          <w:rFonts w:cs="Traditional Arabic" w:hint="cs"/>
          <w:sz w:val="24"/>
        </w:rPr>
        <w:t xml:space="preserve"> </w:t>
      </w:r>
      <w:r>
        <w:rPr>
          <w:rFonts w:cs="Traditional Arabic"/>
          <w:sz w:val="24"/>
          <w:rtl/>
        </w:rPr>
        <w:t>-</w:t>
      </w:r>
      <w:r>
        <w:rPr>
          <w:rFonts w:cs="Traditional Arabic" w:hint="cs"/>
          <w:sz w:val="24"/>
        </w:rPr>
        <w:t xml:space="preserve"> </w:t>
      </w:r>
      <w:r>
        <w:rPr>
          <w:rFonts w:cs="Traditional Arabic"/>
          <w:sz w:val="24"/>
          <w:rtl/>
        </w:rPr>
        <w:t>أبو الفضل أحمد بن محم</w:t>
      </w:r>
      <w:r>
        <w:rPr>
          <w:rFonts w:cs="Traditional Arabic" w:hint="cs"/>
          <w:sz w:val="24"/>
          <w:rtl/>
        </w:rPr>
        <w:t>ـ</w:t>
      </w:r>
      <w:r>
        <w:rPr>
          <w:rFonts w:cs="Traditional Arabic"/>
          <w:sz w:val="24"/>
          <w:rtl/>
        </w:rPr>
        <w:t>د النيسابوري (الميداني)، مجمع الأمثال. بيروت، دار مكتبة الحياة، ج1، ص 177.</w:t>
      </w:r>
    </w:p>
  </w:footnote>
  <w:footnote w:id="11">
    <w:p w:rsidR="00A76EAB" w:rsidRDefault="00A76EAB" w:rsidP="00A76EAB">
      <w:pPr>
        <w:pStyle w:val="Notedebasdepage"/>
        <w:jc w:val="both"/>
        <w:rPr>
          <w:rFonts w:cs="Traditional Arabic"/>
          <w:sz w:val="24"/>
          <w:rtl/>
          <w:lang w:bidi="ar-DZ"/>
        </w:rPr>
      </w:pPr>
      <w:r>
        <w:rPr>
          <w:rStyle w:val="Appelnotedebasdep"/>
          <w:rtl/>
        </w:rPr>
        <w:t>2</w:t>
      </w:r>
      <w:r>
        <w:rPr>
          <w:rtl/>
        </w:rPr>
        <w:t xml:space="preserve"> </w:t>
      </w:r>
      <w:r>
        <w:rPr>
          <w:rFonts w:cs="Traditional Arabic"/>
          <w:sz w:val="24"/>
          <w:rtl/>
        </w:rPr>
        <w:t>-</w:t>
      </w:r>
      <w:r>
        <w:rPr>
          <w:rFonts w:cs="Traditional Arabic" w:hint="cs"/>
          <w:sz w:val="24"/>
        </w:rPr>
        <w:t xml:space="preserve"> </w:t>
      </w:r>
      <w:r>
        <w:rPr>
          <w:rFonts w:cs="Traditional Arabic"/>
          <w:sz w:val="24"/>
          <w:rtl/>
        </w:rPr>
        <w:t xml:space="preserve"> ابن يعيش، شرح المفصل للزمخشري،ج1، ص 224.</w:t>
      </w:r>
    </w:p>
  </w:footnote>
  <w:footnote w:id="12">
    <w:p w:rsidR="00A76EAB" w:rsidRDefault="00A76EAB" w:rsidP="00A76EAB">
      <w:pPr>
        <w:pStyle w:val="Notedebasdepage"/>
        <w:jc w:val="both"/>
        <w:rPr>
          <w:rFonts w:cs="Traditional Arabic"/>
          <w:sz w:val="24"/>
          <w:rtl/>
          <w:lang w:bidi="ar-DZ"/>
        </w:rPr>
      </w:pPr>
      <w:r>
        <w:rPr>
          <w:rStyle w:val="Appelnotedebasdep"/>
          <w:rtl/>
        </w:rPr>
        <w:t>3</w:t>
      </w:r>
      <w:r>
        <w:rPr>
          <w:rFonts w:cs="Traditional Arabic"/>
          <w:sz w:val="24"/>
          <w:rtl/>
        </w:rPr>
        <w:t xml:space="preserve"> - </w:t>
      </w:r>
      <w:r>
        <w:rPr>
          <w:rFonts w:cs="Traditional Arabic" w:hint="cs"/>
          <w:sz w:val="24"/>
        </w:rPr>
        <w:t xml:space="preserve"> </w:t>
      </w:r>
      <w:r>
        <w:rPr>
          <w:rFonts w:cs="Traditional Arabic"/>
          <w:sz w:val="24"/>
          <w:rtl/>
        </w:rPr>
        <w:t>أبو محم</w:t>
      </w:r>
      <w:r>
        <w:rPr>
          <w:rFonts w:cs="Traditional Arabic" w:hint="cs"/>
          <w:sz w:val="24"/>
          <w:rtl/>
        </w:rPr>
        <w:t>ـ</w:t>
      </w:r>
      <w:r>
        <w:rPr>
          <w:rFonts w:cs="Traditional Arabic"/>
          <w:sz w:val="24"/>
          <w:rtl/>
        </w:rPr>
        <w:t>د القاسم بن علي بن محم</w:t>
      </w:r>
      <w:r>
        <w:rPr>
          <w:rFonts w:cs="Traditional Arabic" w:hint="cs"/>
          <w:sz w:val="24"/>
          <w:rtl/>
        </w:rPr>
        <w:t>ـ</w:t>
      </w:r>
      <w:r>
        <w:rPr>
          <w:rFonts w:cs="Traditional Arabic"/>
          <w:sz w:val="24"/>
          <w:rtl/>
        </w:rPr>
        <w:t>د بن عثمان الحريري، شرح ملحة الإعراب، تح: أحمد محمد قاسم ، ط1. دمشق: 2005، دار الكلم الطيب، ص 143.</w:t>
      </w:r>
    </w:p>
  </w:footnote>
  <w:footnote w:id="13">
    <w:p w:rsidR="00A76EAB" w:rsidRDefault="00A76EAB" w:rsidP="00A76EAB">
      <w:pPr>
        <w:pStyle w:val="Notedebasdepage"/>
        <w:jc w:val="both"/>
        <w:rPr>
          <w:rFonts w:cs="Traditional Arabic"/>
          <w:sz w:val="24"/>
          <w:rtl/>
          <w:lang w:bidi="ar-DZ"/>
        </w:rPr>
      </w:pPr>
      <w:r>
        <w:rPr>
          <w:rStyle w:val="Appelnotedebasdep"/>
          <w:rtl/>
        </w:rPr>
        <w:t>1</w:t>
      </w:r>
      <w:r>
        <w:rPr>
          <w:rtl/>
        </w:rPr>
        <w:t xml:space="preserve"> </w:t>
      </w:r>
      <w:r>
        <w:rPr>
          <w:rFonts w:cs="Traditional Arabic"/>
          <w:sz w:val="24"/>
          <w:rtl/>
        </w:rPr>
        <w:t>-</w:t>
      </w:r>
      <w:r>
        <w:rPr>
          <w:rFonts w:cs="Traditional Arabic" w:hint="cs"/>
          <w:sz w:val="24"/>
        </w:rPr>
        <w:t xml:space="preserve"> </w:t>
      </w:r>
      <w:r>
        <w:rPr>
          <w:rFonts w:cs="Traditional Arabic"/>
          <w:sz w:val="24"/>
          <w:rtl/>
        </w:rPr>
        <w:t xml:space="preserve"> ينظر، السيوطي، الأشباه والنظائر في النحو،ط1. بيروت: 2001، دار الكتب العلمية ، ج2 ، ص 47 .</w:t>
      </w:r>
    </w:p>
  </w:footnote>
  <w:footnote w:id="14">
    <w:p w:rsidR="00A76EAB" w:rsidRDefault="00A76EAB" w:rsidP="00A76EAB">
      <w:pPr>
        <w:pStyle w:val="Notedebasdepage"/>
        <w:jc w:val="both"/>
        <w:rPr>
          <w:rFonts w:cs="Traditional Arabic"/>
          <w:sz w:val="24"/>
          <w:rtl/>
          <w:lang w:bidi="ar-DZ"/>
        </w:rPr>
      </w:pPr>
      <w:r>
        <w:rPr>
          <w:rStyle w:val="Appelnotedebasdep"/>
          <w:rtl/>
        </w:rPr>
        <w:t>2</w:t>
      </w:r>
      <w:r>
        <w:rPr>
          <w:rtl/>
        </w:rPr>
        <w:t xml:space="preserve"> </w:t>
      </w:r>
      <w:r>
        <w:rPr>
          <w:rFonts w:cs="Traditional Arabic"/>
          <w:sz w:val="24"/>
          <w:rtl/>
        </w:rPr>
        <w:t>-</w:t>
      </w:r>
      <w:r>
        <w:rPr>
          <w:rFonts w:cs="Traditional Arabic" w:hint="cs"/>
          <w:sz w:val="24"/>
        </w:rPr>
        <w:t xml:space="preserve"> </w:t>
      </w:r>
      <w:r>
        <w:rPr>
          <w:rFonts w:cs="Traditional Arabic"/>
          <w:sz w:val="24"/>
          <w:rtl/>
        </w:rPr>
        <w:t xml:space="preserve"> المرجع نفسه، ج2 ، ص 47.</w:t>
      </w:r>
    </w:p>
  </w:footnote>
  <w:footnote w:id="15">
    <w:p w:rsidR="00A76EAB" w:rsidRDefault="00A76EAB" w:rsidP="00A76EAB">
      <w:pPr>
        <w:pStyle w:val="Notedebasdepage"/>
        <w:jc w:val="both"/>
        <w:rPr>
          <w:rFonts w:cs="Traditional Arabic"/>
          <w:sz w:val="24"/>
          <w:rtl/>
          <w:lang w:bidi="ar-DZ"/>
        </w:rPr>
      </w:pPr>
      <w:r>
        <w:rPr>
          <w:rStyle w:val="Appelnotedebasdep"/>
          <w:rtl/>
        </w:rPr>
        <w:t>3</w:t>
      </w:r>
      <w:r>
        <w:rPr>
          <w:rtl/>
        </w:rPr>
        <w:t xml:space="preserve"> </w:t>
      </w:r>
      <w:r>
        <w:rPr>
          <w:rFonts w:cs="Traditional Arabic"/>
          <w:sz w:val="24"/>
          <w:rtl/>
        </w:rPr>
        <w:t>-</w:t>
      </w:r>
      <w:r>
        <w:rPr>
          <w:rFonts w:cs="Traditional Arabic"/>
          <w:sz w:val="24"/>
        </w:rPr>
        <w:t xml:space="preserve">  </w:t>
      </w:r>
      <w:r>
        <w:rPr>
          <w:rFonts w:cs="Traditional Arabic"/>
          <w:sz w:val="24"/>
          <w:rtl/>
        </w:rPr>
        <w:t xml:space="preserve"> </w:t>
      </w:r>
      <w:r>
        <w:rPr>
          <w:rFonts w:cs="Traditional Arabic" w:hint="cs"/>
          <w:sz w:val="24"/>
          <w:rtl/>
        </w:rPr>
        <w:t>ينظر، عبد الرحمن المكودي، حاشية ابن حمدون، ط2. بيروت: 2001، دار الفكر للطباعة والنشر والتوزيع ، ص 141 .</w:t>
      </w:r>
    </w:p>
  </w:footnote>
  <w:footnote w:id="16">
    <w:p w:rsidR="00A76EAB" w:rsidRDefault="00A76EAB" w:rsidP="00A76EAB">
      <w:pPr>
        <w:pStyle w:val="Notedebasdepage"/>
        <w:jc w:val="both"/>
        <w:rPr>
          <w:rFonts w:cs="Traditional Arabic"/>
          <w:sz w:val="24"/>
          <w:rtl/>
          <w:lang w:bidi="ar-DZ"/>
        </w:rPr>
      </w:pPr>
      <w:r>
        <w:rPr>
          <w:rStyle w:val="Appelnotedebasdep"/>
          <w:rtl/>
        </w:rPr>
        <w:t>4</w:t>
      </w:r>
      <w:r>
        <w:rPr>
          <w:rFonts w:cs="Traditional Arabic"/>
          <w:sz w:val="24"/>
          <w:rtl/>
        </w:rPr>
        <w:t xml:space="preserve">  -</w:t>
      </w:r>
      <w:r>
        <w:rPr>
          <w:rFonts w:cs="Traditional Arabic" w:hint="cs"/>
          <w:sz w:val="24"/>
        </w:rPr>
        <w:t xml:space="preserve"> </w:t>
      </w:r>
      <w:r>
        <w:rPr>
          <w:rFonts w:cs="Traditional Arabic"/>
          <w:sz w:val="24"/>
          <w:rtl/>
        </w:rPr>
        <w:t>عبد الرحمن المكودي، حاشية بن حمدون، ص 131.</w:t>
      </w:r>
    </w:p>
  </w:footnote>
  <w:footnote w:id="17">
    <w:p w:rsidR="00A76EAB" w:rsidRDefault="00A76EAB" w:rsidP="00A76EAB">
      <w:pPr>
        <w:pStyle w:val="Notedebasdepage"/>
        <w:jc w:val="both"/>
        <w:rPr>
          <w:rFonts w:cs="Traditional Arabic"/>
          <w:sz w:val="24"/>
          <w:rtl/>
          <w:lang w:bidi="ar-DZ"/>
        </w:rPr>
      </w:pPr>
      <w:r>
        <w:rPr>
          <w:rStyle w:val="Appelnotedebasdep"/>
          <w:rtl/>
        </w:rPr>
        <w:t>5</w:t>
      </w:r>
      <w:r>
        <w:rPr>
          <w:rFonts w:cs="Traditional Arabic"/>
          <w:sz w:val="24"/>
          <w:rtl/>
        </w:rPr>
        <w:t xml:space="preserve"> -</w:t>
      </w:r>
      <w:r>
        <w:rPr>
          <w:rFonts w:cs="Traditional Arabic" w:hint="cs"/>
          <w:sz w:val="24"/>
        </w:rPr>
        <w:t xml:space="preserve"> </w:t>
      </w:r>
      <w:r>
        <w:rPr>
          <w:rFonts w:cs="Traditional Arabic"/>
          <w:sz w:val="24"/>
          <w:rtl/>
        </w:rPr>
        <w:t xml:space="preserve"> ينظر، إبراهيم إبراهيم بركات، النحو العربي، ج1، ص 43 .</w:t>
      </w:r>
    </w:p>
  </w:footnote>
  <w:footnote w:id="18">
    <w:p w:rsidR="00A76EAB" w:rsidRDefault="00A76EAB" w:rsidP="00A76EAB">
      <w:pPr>
        <w:pStyle w:val="Notedebasdepage"/>
        <w:jc w:val="both"/>
        <w:rPr>
          <w:rFonts w:cs="Traditional Arabic"/>
          <w:sz w:val="24"/>
          <w:rtl/>
          <w:lang w:bidi="ar-DZ"/>
        </w:rPr>
      </w:pPr>
      <w:r>
        <w:rPr>
          <w:rStyle w:val="Appelnotedebasdep"/>
          <w:rtl/>
        </w:rPr>
        <w:t>6</w:t>
      </w:r>
      <w:r>
        <w:rPr>
          <w:rFonts w:cs="Traditional Arabic" w:hint="cs"/>
          <w:sz w:val="24"/>
        </w:rPr>
        <w:t xml:space="preserve"> </w:t>
      </w:r>
      <w:r>
        <w:rPr>
          <w:rFonts w:cs="Traditional Arabic"/>
          <w:sz w:val="24"/>
          <w:rtl/>
        </w:rPr>
        <w:t xml:space="preserve">– ينظر، بهاء الدين عبد الله بن عقيل، شرح ابن عقيل ، ط2 . بيروت ، دار إحياء التراث العربي ، ج1 ، ص 215 . </w:t>
      </w:r>
    </w:p>
  </w:footnote>
  <w:footnote w:id="19">
    <w:p w:rsidR="00A76EAB" w:rsidRDefault="00A76EAB" w:rsidP="00A76EAB">
      <w:pPr>
        <w:pStyle w:val="Notedebasdepage"/>
        <w:jc w:val="both"/>
        <w:rPr>
          <w:rFonts w:cs="Traditional Arabic"/>
          <w:sz w:val="24"/>
          <w:rtl/>
          <w:lang w:bidi="ar-DZ"/>
        </w:rPr>
      </w:pPr>
      <w:r>
        <w:rPr>
          <w:rStyle w:val="Appelnotedebasdep"/>
          <w:rtl/>
        </w:rPr>
        <w:t>7</w:t>
      </w:r>
      <w:r>
        <w:rPr>
          <w:rFonts w:cs="Traditional Arabic"/>
          <w:sz w:val="24"/>
          <w:rtl/>
        </w:rPr>
        <w:t xml:space="preserve"> -</w:t>
      </w:r>
      <w:r>
        <w:rPr>
          <w:rFonts w:cs="Traditional Arabic"/>
          <w:sz w:val="24"/>
          <w:rtl/>
          <w:lang w:bidi="ar-DZ"/>
        </w:rPr>
        <w:t xml:space="preserve"> ينظر، </w:t>
      </w:r>
      <w:r>
        <w:rPr>
          <w:rFonts w:cs="Traditional Arabic"/>
          <w:sz w:val="24"/>
          <w:rtl/>
        </w:rPr>
        <w:t>ابن هشام الأنصاري، شرح قطر الندى وبل الصدى، ط11. مصر: 1963، مكتبة السعادة، ص 118.</w:t>
      </w:r>
    </w:p>
  </w:footnote>
  <w:footnote w:id="20">
    <w:p w:rsidR="00A76EAB" w:rsidRDefault="00A76EAB" w:rsidP="00A76EAB">
      <w:pPr>
        <w:pStyle w:val="Notedebasdepage"/>
        <w:jc w:val="both"/>
        <w:rPr>
          <w:rFonts w:cs="Traditional Arabic"/>
          <w:sz w:val="24"/>
          <w:rtl/>
          <w:lang w:bidi="ar-DZ"/>
        </w:rPr>
      </w:pPr>
      <w:r>
        <w:rPr>
          <w:rStyle w:val="Appelnotedebasdep"/>
          <w:rtl/>
        </w:rPr>
        <w:t>8</w:t>
      </w:r>
      <w:r>
        <w:rPr>
          <w:rFonts w:cs="Traditional Arabic"/>
          <w:sz w:val="24"/>
          <w:rtl/>
        </w:rPr>
        <w:t xml:space="preserve"> - </w:t>
      </w:r>
      <w:r>
        <w:rPr>
          <w:rFonts w:cs="Traditional Arabic" w:hint="cs"/>
          <w:sz w:val="24"/>
        </w:rPr>
        <w:t xml:space="preserve"> </w:t>
      </w:r>
      <w:r>
        <w:rPr>
          <w:rFonts w:cs="Traditional Arabic"/>
          <w:sz w:val="24"/>
          <w:rtl/>
        </w:rPr>
        <w:t>ينظر، السيوطي، الأشباه والنظائر في النحو ، ج 2 ، ص 482 .</w:t>
      </w:r>
    </w:p>
  </w:footnote>
  <w:footnote w:id="21">
    <w:p w:rsidR="00A76EAB" w:rsidRDefault="00A76EAB" w:rsidP="00A76EAB">
      <w:pPr>
        <w:pStyle w:val="Notedebasdepage"/>
        <w:jc w:val="both"/>
        <w:rPr>
          <w:rFonts w:cs="Traditional Arabic"/>
          <w:sz w:val="24"/>
          <w:rtl/>
          <w:lang w:bidi="ar-DZ"/>
        </w:rPr>
      </w:pPr>
      <w:r>
        <w:rPr>
          <w:rStyle w:val="Appelnotedebasdep"/>
          <w:rtl/>
        </w:rPr>
        <w:t>1</w:t>
      </w:r>
      <w:r>
        <w:rPr>
          <w:rFonts w:cs="Traditional Arabic" w:hint="cs"/>
          <w:sz w:val="24"/>
          <w:lang w:val="fr-FR"/>
        </w:rPr>
        <w:t xml:space="preserve"> </w:t>
      </w:r>
      <w:r>
        <w:rPr>
          <w:rFonts w:cs="Traditional Arabic"/>
          <w:sz w:val="24"/>
          <w:rtl/>
        </w:rPr>
        <w:t>-</w:t>
      </w:r>
      <w:r>
        <w:rPr>
          <w:rFonts w:cs="Traditional Arabic" w:hint="cs"/>
          <w:sz w:val="24"/>
        </w:rPr>
        <w:t xml:space="preserve"> </w:t>
      </w:r>
      <w:r>
        <w:rPr>
          <w:rFonts w:cs="Traditional Arabic"/>
          <w:sz w:val="24"/>
          <w:rtl/>
        </w:rPr>
        <w:t>الميداني، مجمع الأمثال، ج1،ص177 .</w:t>
      </w:r>
    </w:p>
  </w:footnote>
  <w:footnote w:id="22">
    <w:p w:rsidR="00A76EAB" w:rsidRDefault="00A76EAB" w:rsidP="00A76EAB">
      <w:pPr>
        <w:pStyle w:val="Notedebasdepage"/>
        <w:jc w:val="both"/>
        <w:rPr>
          <w:rFonts w:cs="Traditional Arabic"/>
          <w:sz w:val="24"/>
          <w:rtl/>
        </w:rPr>
      </w:pPr>
      <w:r>
        <w:rPr>
          <w:rStyle w:val="Appelnotedebasdep"/>
          <w:rtl/>
        </w:rPr>
        <w:t>2</w:t>
      </w:r>
      <w:r>
        <w:rPr>
          <w:rFonts w:cs="Traditional Arabic"/>
          <w:sz w:val="24"/>
          <w:rtl/>
        </w:rPr>
        <w:t xml:space="preserve"> – محي الدين أبي زكرياء يحي بن شرف النووي ، صحيح مسلم بشرح النووي ، دار التقوى ، ج7 ،ص 1232 .</w:t>
      </w:r>
    </w:p>
  </w:footnote>
  <w:footnote w:id="23">
    <w:p w:rsidR="00A76EAB" w:rsidRDefault="00A76EAB" w:rsidP="00A76EAB">
      <w:pPr>
        <w:pStyle w:val="Notedebasdepage"/>
        <w:jc w:val="both"/>
        <w:rPr>
          <w:rFonts w:cs="Traditional Arabic"/>
          <w:sz w:val="24"/>
          <w:rtl/>
          <w:lang w:bidi="ar-DZ"/>
        </w:rPr>
      </w:pPr>
      <w:r>
        <w:rPr>
          <w:rStyle w:val="Appelnotedebasdep"/>
          <w:rFonts w:cs="Traditional Arabic"/>
          <w:sz w:val="24"/>
          <w:rtl/>
        </w:rPr>
        <w:t>1</w:t>
      </w:r>
      <w:r>
        <w:rPr>
          <w:rFonts w:cs="Traditional Arabic"/>
          <w:sz w:val="24"/>
          <w:rtl/>
        </w:rPr>
        <w:t>-</w:t>
      </w:r>
      <w:r>
        <w:rPr>
          <w:rFonts w:cs="Traditional Arabic" w:hint="cs"/>
          <w:sz w:val="24"/>
        </w:rPr>
        <w:t xml:space="preserve"> </w:t>
      </w:r>
      <w:r>
        <w:rPr>
          <w:rFonts w:cs="Traditional Arabic"/>
          <w:sz w:val="24"/>
          <w:rtl/>
        </w:rPr>
        <w:t xml:space="preserve"> جلال الدين السيوطي، الأشباه والنظائر في النحو، ص48.</w:t>
      </w:r>
    </w:p>
  </w:footnote>
  <w:footnote w:id="24">
    <w:p w:rsidR="00A76EAB" w:rsidRDefault="00A76EAB" w:rsidP="00A76EAB">
      <w:pPr>
        <w:pStyle w:val="Notedebasdepage"/>
        <w:jc w:val="both"/>
        <w:rPr>
          <w:rFonts w:cs="Traditional Arabic"/>
          <w:sz w:val="24"/>
          <w:rtl/>
          <w:lang w:bidi="ar-DZ"/>
        </w:rPr>
      </w:pPr>
      <w:r>
        <w:rPr>
          <w:rStyle w:val="Appelnotedebasdep"/>
          <w:rtl/>
        </w:rPr>
        <w:t>1</w:t>
      </w:r>
      <w:r>
        <w:rPr>
          <w:rFonts w:cs="Traditional Arabic" w:hint="cs"/>
          <w:sz w:val="24"/>
        </w:rPr>
        <w:t xml:space="preserve"> </w:t>
      </w:r>
      <w:r>
        <w:rPr>
          <w:rFonts w:cs="Traditional Arabic"/>
          <w:sz w:val="24"/>
          <w:rtl/>
        </w:rPr>
        <w:t>- سيبويه، الكتاب، ج2 ، ص 321.</w:t>
      </w:r>
    </w:p>
  </w:footnote>
  <w:footnote w:id="25">
    <w:p w:rsidR="00A76EAB" w:rsidRDefault="00A76EAB" w:rsidP="00A76EAB">
      <w:pPr>
        <w:pStyle w:val="Notedebasdepage"/>
        <w:jc w:val="both"/>
        <w:rPr>
          <w:rFonts w:cs="Traditional Arabic"/>
          <w:sz w:val="24"/>
          <w:rtl/>
          <w:lang w:bidi="ar-DZ"/>
        </w:rPr>
      </w:pPr>
      <w:r>
        <w:rPr>
          <w:rStyle w:val="Appelnotedebasdep"/>
          <w:rtl/>
        </w:rPr>
        <w:t>2</w:t>
      </w:r>
      <w:r>
        <w:rPr>
          <w:rFonts w:cs="Traditional Arabic"/>
          <w:sz w:val="24"/>
          <w:rtl/>
        </w:rPr>
        <w:t xml:space="preserve"> -</w:t>
      </w:r>
      <w:r>
        <w:rPr>
          <w:rFonts w:cs="Traditional Arabic" w:hint="cs"/>
          <w:sz w:val="24"/>
          <w:lang w:val="fr-FR"/>
        </w:rPr>
        <w:t xml:space="preserve"> </w:t>
      </w:r>
      <w:r>
        <w:rPr>
          <w:rFonts w:cs="Traditional Arabic" w:hint="cs"/>
          <w:sz w:val="24"/>
        </w:rPr>
        <w:t xml:space="preserve"> </w:t>
      </w:r>
      <w:r>
        <w:rPr>
          <w:rFonts w:cs="Traditional Arabic" w:hint="cs"/>
          <w:sz w:val="24"/>
          <w:rtl/>
        </w:rPr>
        <w:t>المرجع نفسه</w:t>
      </w:r>
      <w:r>
        <w:rPr>
          <w:rFonts w:cs="Traditional Arabic"/>
          <w:sz w:val="24"/>
          <w:rtl/>
        </w:rPr>
        <w:t>،ج2 ، ص 40.</w:t>
      </w:r>
    </w:p>
  </w:footnote>
  <w:footnote w:id="26">
    <w:p w:rsidR="00A76EAB" w:rsidRDefault="00A76EAB" w:rsidP="00A76EAB">
      <w:pPr>
        <w:pStyle w:val="Notedebasdepage"/>
        <w:jc w:val="both"/>
        <w:rPr>
          <w:rFonts w:cs="Traditional Arabic"/>
          <w:sz w:val="24"/>
          <w:rtl/>
          <w:lang w:bidi="ar-DZ"/>
        </w:rPr>
      </w:pPr>
      <w:r>
        <w:rPr>
          <w:rStyle w:val="Appelnotedebasdep"/>
          <w:rtl/>
        </w:rPr>
        <w:t>3</w:t>
      </w:r>
      <w:r>
        <w:rPr>
          <w:rFonts w:cs="Traditional Arabic"/>
          <w:sz w:val="24"/>
          <w:rtl/>
        </w:rPr>
        <w:t xml:space="preserve"> –</w:t>
      </w:r>
      <w:r>
        <w:rPr>
          <w:rFonts w:cs="Traditional Arabic" w:hint="cs"/>
          <w:sz w:val="24"/>
        </w:rPr>
        <w:t xml:space="preserve"> </w:t>
      </w:r>
      <w:r>
        <w:rPr>
          <w:rFonts w:cs="Traditional Arabic" w:hint="cs"/>
          <w:sz w:val="24"/>
          <w:rtl/>
        </w:rPr>
        <w:t>المرجع نفسه</w:t>
      </w:r>
      <w:r>
        <w:rPr>
          <w:rFonts w:cs="Traditional Arabic"/>
          <w:sz w:val="24"/>
          <w:rtl/>
        </w:rPr>
        <w:t>، ج1، ص 47.</w:t>
      </w:r>
    </w:p>
  </w:footnote>
  <w:footnote w:id="27">
    <w:p w:rsidR="00A76EAB" w:rsidRDefault="00A76EAB" w:rsidP="00A76EAB">
      <w:pPr>
        <w:pStyle w:val="Notedebasdepage"/>
        <w:jc w:val="both"/>
        <w:rPr>
          <w:rFonts w:cs="Traditional Arabic"/>
          <w:sz w:val="24"/>
          <w:lang w:bidi="ar-DZ"/>
        </w:rPr>
      </w:pPr>
      <w:r>
        <w:rPr>
          <w:rStyle w:val="Appelnotedebasdep"/>
          <w:rFonts w:cs="Traditional Arabic"/>
          <w:sz w:val="24"/>
          <w:rtl/>
        </w:rPr>
        <w:t>1</w:t>
      </w:r>
      <w:r>
        <w:rPr>
          <w:rFonts w:cs="Traditional Arabic" w:hint="cs"/>
          <w:sz w:val="24"/>
        </w:rPr>
        <w:t xml:space="preserve"> </w:t>
      </w:r>
      <w:r>
        <w:rPr>
          <w:rFonts w:cs="Traditional Arabic"/>
          <w:sz w:val="24"/>
          <w:rtl/>
        </w:rPr>
        <w:t>– ينظر، ابن هشام الأنصاري، قطر الندى وبل الصدى ، ص 125.</w:t>
      </w:r>
    </w:p>
  </w:footnote>
  <w:footnote w:id="28">
    <w:p w:rsidR="00A76EAB" w:rsidRDefault="00A76EAB" w:rsidP="00A76EAB">
      <w:pPr>
        <w:pStyle w:val="Notedebasdepage"/>
        <w:jc w:val="both"/>
        <w:rPr>
          <w:rFonts w:cs="Traditional Arabic"/>
          <w:sz w:val="24"/>
          <w:rtl/>
          <w:lang w:bidi="ar-DZ"/>
        </w:rPr>
      </w:pPr>
      <w:r>
        <w:rPr>
          <w:rStyle w:val="Appelnotedebasdep"/>
          <w:rtl/>
        </w:rPr>
        <w:t>1</w:t>
      </w:r>
      <w:r>
        <w:rPr>
          <w:rtl/>
        </w:rPr>
        <w:t xml:space="preserve"> </w:t>
      </w:r>
      <w:r>
        <w:rPr>
          <w:rFonts w:cs="Traditional Arabic"/>
          <w:sz w:val="24"/>
          <w:rtl/>
        </w:rPr>
        <w:t>-</w:t>
      </w:r>
      <w:r>
        <w:rPr>
          <w:rFonts w:cs="Traditional Arabic" w:hint="cs"/>
          <w:sz w:val="24"/>
          <w:lang w:val="fr-FR"/>
        </w:rPr>
        <w:t xml:space="preserve"> </w:t>
      </w:r>
      <w:r>
        <w:rPr>
          <w:rFonts w:cs="Traditional Arabic" w:hint="cs"/>
          <w:sz w:val="24"/>
        </w:rPr>
        <w:t xml:space="preserve"> </w:t>
      </w:r>
      <w:r>
        <w:rPr>
          <w:rFonts w:cs="Traditional Arabic"/>
          <w:sz w:val="24"/>
          <w:rtl/>
        </w:rPr>
        <w:t>إبراهيم إبراهيم بركات، النحو العربي، ج1، ص 40.</w:t>
      </w:r>
    </w:p>
  </w:footnote>
  <w:footnote w:id="29">
    <w:p w:rsidR="00A76EAB" w:rsidRDefault="00A76EAB" w:rsidP="00A76EAB">
      <w:pPr>
        <w:pStyle w:val="Notedebasdepage"/>
        <w:jc w:val="both"/>
        <w:rPr>
          <w:rFonts w:cs="Traditional Arabic"/>
          <w:sz w:val="24"/>
          <w:rtl/>
          <w:lang w:bidi="ar-DZ"/>
        </w:rPr>
      </w:pPr>
      <w:r>
        <w:rPr>
          <w:rStyle w:val="Appelnotedebasdep"/>
          <w:rtl/>
        </w:rPr>
        <w:t>2</w:t>
      </w:r>
      <w:r>
        <w:rPr>
          <w:rFonts w:cs="Traditional Arabic"/>
          <w:sz w:val="24"/>
          <w:rtl/>
        </w:rPr>
        <w:t xml:space="preserve"> -</w:t>
      </w:r>
      <w:r>
        <w:rPr>
          <w:rFonts w:cs="Traditional Arabic" w:hint="cs"/>
          <w:sz w:val="24"/>
        </w:rPr>
        <w:t xml:space="preserve"> </w:t>
      </w:r>
      <w:r>
        <w:rPr>
          <w:rFonts w:cs="Traditional Arabic"/>
          <w:sz w:val="24"/>
          <w:rtl/>
        </w:rPr>
        <w:t>ينظر، سيبويه، الكتاب، ج2 ، ص 127 .</w:t>
      </w:r>
    </w:p>
  </w:footnote>
  <w:footnote w:id="30">
    <w:p w:rsidR="00A76EAB" w:rsidRDefault="00A76EAB" w:rsidP="00A76EAB">
      <w:pPr>
        <w:pStyle w:val="Notedebasdepage"/>
        <w:jc w:val="both"/>
        <w:rPr>
          <w:rFonts w:cs="Traditional Arabic"/>
          <w:sz w:val="24"/>
          <w:rtl/>
          <w:lang w:bidi="ar-DZ"/>
        </w:rPr>
      </w:pPr>
      <w:r>
        <w:rPr>
          <w:rStyle w:val="Appelnotedebasdep"/>
          <w:rtl/>
        </w:rPr>
        <w:t>3</w:t>
      </w:r>
      <w:r>
        <w:rPr>
          <w:rtl/>
        </w:rPr>
        <w:t xml:space="preserve"> </w:t>
      </w:r>
      <w:r>
        <w:rPr>
          <w:rFonts w:cs="Traditional Arabic"/>
          <w:sz w:val="24"/>
          <w:rtl/>
        </w:rPr>
        <w:t>-</w:t>
      </w:r>
      <w:r>
        <w:rPr>
          <w:rFonts w:cs="Traditional Arabic" w:hint="cs"/>
          <w:sz w:val="24"/>
        </w:rPr>
        <w:t xml:space="preserve"> </w:t>
      </w:r>
      <w:r>
        <w:rPr>
          <w:rFonts w:cs="Traditional Arabic"/>
          <w:sz w:val="24"/>
          <w:rtl/>
        </w:rPr>
        <w:t>ينظر، الزمخشري، المفصل في علوم اللغة، ط1. بيروت: 1990، دار إحياء العلوم، ص 24.</w:t>
      </w:r>
    </w:p>
  </w:footnote>
  <w:footnote w:id="31">
    <w:p w:rsidR="00A76EAB" w:rsidRDefault="00A76EAB" w:rsidP="00A76EAB">
      <w:pPr>
        <w:pStyle w:val="Notedebasdepage"/>
      </w:pPr>
    </w:p>
  </w:footnote>
  <w:footnote w:id="32">
    <w:p w:rsidR="00A76EAB" w:rsidRDefault="00A76EAB" w:rsidP="00A76EAB">
      <w:pPr>
        <w:pStyle w:val="Notedebasdepage"/>
        <w:jc w:val="both"/>
        <w:rPr>
          <w:rFonts w:cs="Traditional Arabic"/>
          <w:sz w:val="24"/>
          <w:rtl/>
        </w:rPr>
      </w:pPr>
      <w:r>
        <w:rPr>
          <w:rStyle w:val="Appelnotedebasdep"/>
          <w:rFonts w:cs="Traditional Arabic" w:hint="cs"/>
          <w:sz w:val="24"/>
          <w:rtl/>
        </w:rPr>
        <w:t>4</w:t>
      </w:r>
      <w:r>
        <w:rPr>
          <w:rFonts w:cs="Traditional Arabic"/>
          <w:sz w:val="24"/>
          <w:rtl/>
        </w:rPr>
        <w:t xml:space="preserve"> </w:t>
      </w:r>
      <w:r>
        <w:rPr>
          <w:rFonts w:cs="Traditional Arabic" w:hint="cs"/>
          <w:sz w:val="24"/>
          <w:lang w:val="fr-FR"/>
        </w:rPr>
        <w:t xml:space="preserve"> </w:t>
      </w:r>
      <w:r>
        <w:rPr>
          <w:rFonts w:cs="Traditional Arabic"/>
          <w:sz w:val="24"/>
          <w:lang w:val="fr-FR"/>
        </w:rPr>
        <w:t xml:space="preserve">– </w:t>
      </w:r>
      <w:r>
        <w:rPr>
          <w:rFonts w:cs="Traditional Arabic"/>
          <w:sz w:val="24"/>
          <w:rtl/>
        </w:rPr>
        <w:t>ينظر، إبراهيم إبراهيم بركات، النحو العربي ، ج 1 ، ص42 .</w:t>
      </w:r>
    </w:p>
  </w:footnote>
  <w:footnote w:id="33">
    <w:p w:rsidR="00A76EAB" w:rsidRDefault="00A76EAB" w:rsidP="00A76EAB">
      <w:pPr>
        <w:pStyle w:val="Notedebasdepage"/>
        <w:jc w:val="both"/>
        <w:rPr>
          <w:rFonts w:cs="Traditional Arabic"/>
          <w:sz w:val="24"/>
          <w:rtl/>
          <w:lang w:bidi="ar-DZ"/>
        </w:rPr>
      </w:pPr>
      <w:r>
        <w:rPr>
          <w:rStyle w:val="Appelnotedebasdep"/>
          <w:rtl/>
        </w:rPr>
        <w:t>5</w:t>
      </w:r>
      <w:r>
        <w:rPr>
          <w:rtl/>
        </w:rPr>
        <w:t xml:space="preserve"> </w:t>
      </w:r>
      <w:r>
        <w:rPr>
          <w:rFonts w:cs="Traditional Arabic"/>
          <w:sz w:val="24"/>
          <w:rtl/>
        </w:rPr>
        <w:t>-</w:t>
      </w:r>
      <w:r>
        <w:rPr>
          <w:rFonts w:cs="Traditional Arabic" w:hint="cs"/>
          <w:sz w:val="24"/>
          <w:lang w:val="fr-FR"/>
        </w:rPr>
        <w:t xml:space="preserve"> </w:t>
      </w:r>
      <w:r>
        <w:rPr>
          <w:rFonts w:cs="Traditional Arabic" w:hint="cs"/>
          <w:sz w:val="24"/>
        </w:rPr>
        <w:t xml:space="preserve"> </w:t>
      </w:r>
      <w:r>
        <w:rPr>
          <w:rFonts w:cs="Traditional Arabic"/>
          <w:sz w:val="24"/>
          <w:rtl/>
        </w:rPr>
        <w:t xml:space="preserve"> ينظر، المبرد ، المقتضب ، ج2 ، ص 49 .</w:t>
      </w:r>
    </w:p>
  </w:footnote>
  <w:footnote w:id="34">
    <w:p w:rsidR="00A76EAB" w:rsidRDefault="00A76EAB" w:rsidP="00A76EAB">
      <w:pPr>
        <w:pStyle w:val="Notedebasdepage"/>
        <w:jc w:val="both"/>
        <w:rPr>
          <w:rFonts w:cs="Traditional Arabic"/>
          <w:sz w:val="24"/>
          <w:rtl/>
          <w:lang w:bidi="ar-DZ"/>
        </w:rPr>
      </w:pPr>
      <w:r>
        <w:rPr>
          <w:rStyle w:val="Appelnotedebasdep"/>
          <w:rtl/>
        </w:rPr>
        <w:t>1</w:t>
      </w:r>
      <w:r>
        <w:rPr>
          <w:rFonts w:cs="Traditional Arabic" w:hint="cs"/>
          <w:sz w:val="24"/>
        </w:rPr>
        <w:t xml:space="preserve"> </w:t>
      </w:r>
      <w:r>
        <w:rPr>
          <w:rFonts w:cs="Traditional Arabic"/>
          <w:sz w:val="24"/>
          <w:rtl/>
        </w:rPr>
        <w:t>– ابن عقيل ، شرح ابن عقيل ، ج2 ، ص 4 .</w:t>
      </w:r>
    </w:p>
  </w:footnote>
  <w:footnote w:id="35">
    <w:p w:rsidR="00A76EAB" w:rsidRDefault="00A76EAB" w:rsidP="00A76EAB">
      <w:pPr>
        <w:pStyle w:val="Notedebasdepage"/>
        <w:jc w:val="both"/>
        <w:rPr>
          <w:rFonts w:cs="Traditional Arabic"/>
          <w:sz w:val="24"/>
          <w:rtl/>
        </w:rPr>
      </w:pPr>
      <w:r>
        <w:rPr>
          <w:rStyle w:val="Appelnotedebasdep"/>
          <w:rtl/>
        </w:rPr>
        <w:t>2</w:t>
      </w:r>
      <w:r>
        <w:rPr>
          <w:rFonts w:cs="Traditional Arabic"/>
          <w:sz w:val="24"/>
          <w:rtl/>
        </w:rPr>
        <w:t xml:space="preserve"> – ينظر، محمد عبد العزيز النجار ، ضياء السالك إلى أوضح المسالك ، ج1 ، ص 310 .</w:t>
      </w:r>
    </w:p>
    <w:p w:rsidR="00A76EAB" w:rsidRDefault="00A76EAB" w:rsidP="00A76EAB">
      <w:pPr>
        <w:pStyle w:val="Notedebasdepage"/>
        <w:jc w:val="both"/>
        <w:rPr>
          <w:rFonts w:cs="Traditional Arabic"/>
          <w:sz w:val="24"/>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3D0"/>
    <w:multiLevelType w:val="hybridMultilevel"/>
    <w:tmpl w:val="9AD41D78"/>
    <w:lvl w:ilvl="0" w:tplc="31504376">
      <w:start w:val="1"/>
      <w:numFmt w:val="arabicAlpha"/>
      <w:lvlText w:val="%1-"/>
      <w:lvlJc w:val="left"/>
      <w:pPr>
        <w:ind w:left="532" w:hanging="39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6EAB"/>
    <w:rsid w:val="006D3EBB"/>
    <w:rsid w:val="00A76EAB"/>
    <w:rsid w:val="00B335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B"/>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76EAB"/>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A76EAB"/>
    <w:rPr>
      <w:rFonts w:ascii="Times New Roman" w:eastAsia="Times New Roman" w:hAnsi="Times New Roman" w:cs="Times New Roman"/>
      <w:sz w:val="20"/>
      <w:szCs w:val="20"/>
      <w:lang w:val="en-US"/>
    </w:rPr>
  </w:style>
  <w:style w:type="character" w:styleId="Appelnotedebasdep">
    <w:name w:val="footnote reference"/>
    <w:basedOn w:val="Policepardfaut"/>
    <w:semiHidden/>
    <w:unhideWhenUsed/>
    <w:rsid w:val="00A76E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2009</Words>
  <Characters>11054</Characters>
  <Application>Microsoft Office Word</Application>
  <DocSecurity>0</DocSecurity>
  <Lines>92</Lines>
  <Paragraphs>26</Paragraphs>
  <ScaleCrop>false</ScaleCrop>
  <Company>Msila</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Faculte LL</dc:creator>
  <cp:keywords/>
  <dc:description/>
  <cp:lastModifiedBy>Faculte LL</cp:lastModifiedBy>
  <cp:revision>1</cp:revision>
  <dcterms:created xsi:type="dcterms:W3CDTF">2018-01-08T08:19:00Z</dcterms:created>
  <dcterms:modified xsi:type="dcterms:W3CDTF">2018-01-08T08:19:00Z</dcterms:modified>
</cp:coreProperties>
</file>