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74" w:rsidRPr="00D01674" w:rsidRDefault="00D01674" w:rsidP="00D01674">
      <w:pPr>
        <w:pStyle w:val="a4"/>
        <w:bidi/>
        <w:rPr>
          <w:rStyle w:val="a5"/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val="en-US" w:bidi="ar-DZ"/>
        </w:rPr>
      </w:pPr>
      <w:r w:rsidRPr="00D01674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val="en-US" w:bidi="ar-DZ"/>
        </w:rPr>
        <w:t>قائمة المصادر والمراجع: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9B59B3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9B59B3">
        <w:rPr>
          <w:rFonts w:ascii="Traditional Arabic" w:hAnsi="Traditional Arabic" w:cs="Traditional Arabic"/>
          <w:sz w:val="24"/>
          <w:szCs w:val="24"/>
          <w:rtl/>
        </w:rPr>
        <w:t xml:space="preserve"> ع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بد المنعم خفاجي : مدارس النقد العربي الحديث ، د . ط ، د . س ، الدار المصرية اللبنانية ، الصفحة 87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بركات حمدي أبو علي : بحوث و مقالات في البيان و النقد الأدبي ، د . ط ، د . س ، دار البشر للنشر و التوزيع ، الصفحة : 66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المرجع نفسه ، صفحة 68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عبد المنعم خفاجي : مدارس النقد الأدبي الحديث ، ص 66.</w:t>
      </w:r>
    </w:p>
    <w:p w:rsidR="00D01674" w:rsidRPr="00FE643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>
        <w:rPr>
          <w:rStyle w:val="a5"/>
        </w:rPr>
        <w:footnoteRef/>
      </w:r>
      <w:r>
        <w:t xml:space="preserve"> </w:t>
      </w:r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ينظر/ حنا </w:t>
      </w:r>
      <w:proofErr w:type="spellStart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>الفاخوري</w:t>
      </w:r>
      <w:proofErr w:type="spellEnd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>: تاريخ الأدب العربي، ص: 862/863.</w:t>
      </w:r>
    </w:p>
    <w:p w:rsidR="00D01674" w:rsidRPr="00FE643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FE643B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FE643B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ينظر/ محمد زغلول سلام : النقد الأدبي الحديث أصوله واتجاهاته رواده، منشأة المعارف </w:t>
      </w:r>
      <w:proofErr w:type="spellStart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>بالأسكندرية</w:t>
      </w:r>
      <w:proofErr w:type="spellEnd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>، مصر،د ط/د ت/ ، ص : 48/49.</w:t>
      </w:r>
    </w:p>
    <w:p w:rsidR="00D01674" w:rsidRPr="00FE643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FE643B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FE643B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FE643B">
        <w:rPr>
          <w:rFonts w:ascii="Traditional Arabic" w:hAnsi="Traditional Arabic" w:cs="Traditional Arabic"/>
          <w:sz w:val="24"/>
          <w:szCs w:val="24"/>
          <w:rtl/>
        </w:rPr>
        <w:t xml:space="preserve"> محمد عبد المنعم خفاجي: مدارس النقد الأدبي الحديث، ص 107.</w:t>
      </w:r>
    </w:p>
    <w:p w:rsidR="00D01674" w:rsidRPr="00FE643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FE643B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FE643B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FE643B">
        <w:rPr>
          <w:rFonts w:ascii="Traditional Arabic" w:hAnsi="Traditional Arabic" w:cs="Traditional Arabic"/>
          <w:sz w:val="24"/>
          <w:szCs w:val="24"/>
          <w:rtl/>
        </w:rPr>
        <w:t xml:space="preserve"> المرجع نفسه ص 108.</w:t>
      </w:r>
    </w:p>
    <w:p w:rsidR="00D01674" w:rsidRPr="00FE643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FE643B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FE643B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FE643B">
        <w:rPr>
          <w:rFonts w:ascii="Traditional Arabic" w:hAnsi="Traditional Arabic" w:cs="Traditional Arabic"/>
          <w:sz w:val="24"/>
          <w:szCs w:val="24"/>
          <w:rtl/>
        </w:rPr>
        <w:t xml:space="preserve"> المرجع نفسه، ص 111.</w:t>
      </w:r>
    </w:p>
    <w:p w:rsidR="00D01674" w:rsidRPr="00FE643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FE643B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FE643B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ينظر/ إبراهيم الحاوي: حركة النقد الحديث </w:t>
      </w:r>
      <w:proofErr w:type="spellStart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>والمعاصرفي</w:t>
      </w:r>
      <w:proofErr w:type="spellEnd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الشعر العربي، مؤسسة الرسالة، ط1، 1984، ص : 119.</w:t>
      </w:r>
    </w:p>
    <w:p w:rsidR="00D01674" w:rsidRPr="00FE643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FE643B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FE643B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حنا </w:t>
      </w:r>
      <w:proofErr w:type="spellStart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>الفاخوري</w:t>
      </w:r>
      <w:proofErr w:type="spellEnd"/>
      <w:r w:rsidRPr="00FE643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: تاريخ الأدب العربي، ص: 924.</w:t>
      </w:r>
    </w:p>
    <w:p w:rsidR="00D01674" w:rsidRPr="000F4E87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F4E87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0F4E87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F4E87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سيد قطب : النقد الأدبي أصوله ومناهجه ، دار الشرق، مصر –د ط- </w:t>
      </w:r>
      <w:proofErr w:type="spellStart"/>
      <w:r w:rsidRPr="000F4E87">
        <w:rPr>
          <w:rFonts w:ascii="Traditional Arabic" w:hAnsi="Traditional Arabic" w:cs="Traditional Arabic"/>
          <w:sz w:val="24"/>
          <w:szCs w:val="24"/>
          <w:rtl/>
          <w:lang w:bidi="ar-DZ"/>
        </w:rPr>
        <w:t>دت</w:t>
      </w:r>
      <w:proofErr w:type="spellEnd"/>
      <w:r w:rsidRPr="000F4E87">
        <w:rPr>
          <w:rFonts w:ascii="Traditional Arabic" w:hAnsi="Traditional Arabic" w:cs="Traditional Arabic"/>
          <w:sz w:val="24"/>
          <w:szCs w:val="24"/>
          <w:rtl/>
          <w:lang w:bidi="ar-DZ"/>
        </w:rPr>
        <w:t>-ص: 10.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1</w:t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- محمد زغلول سلام : النقد الأدبي الحديث منشأة المعارف بالإسكندرية ص: 157.</w:t>
      </w:r>
    </w:p>
    <w:p w:rsidR="00D01674" w:rsidRPr="00DC0A4A" w:rsidRDefault="00D01674" w:rsidP="00D01674">
      <w:pPr>
        <w:pStyle w:val="a4"/>
        <w:numPr>
          <w:ilvl w:val="0"/>
          <w:numId w:val="1"/>
        </w:numPr>
        <w:jc w:val="right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حنا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الفاخوري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تاريخ الأدب العربي ، ص: 962.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المرجع نفسه،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ص: 960.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المرجع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السابق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، ص: 994.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محمد لخضر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زبايدية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: من أعلام النقد العربي الحديث والمعاصر، دار غريب للطباعة والنشر، القاهرة مصر،</w:t>
      </w:r>
      <w:r w:rsidRPr="00DC0A4A">
        <w:rPr>
          <w:rFonts w:ascii="Traditional Arabic" w:hAnsi="Traditional Arabic" w:cs="Traditional Arabic"/>
          <w:sz w:val="24"/>
          <w:szCs w:val="24"/>
          <w:lang w:bidi="ar-DZ"/>
        </w:rPr>
        <w:t>)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دط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)،</w:t>
      </w:r>
      <w:r w:rsidRPr="00DC0A4A">
        <w:rPr>
          <w:rFonts w:ascii="Traditional Arabic" w:hAnsi="Traditional Arabic" w:cs="Traditional Arabic"/>
          <w:sz w:val="24"/>
          <w:szCs w:val="24"/>
          <w:lang w:bidi="ar-DZ"/>
        </w:rPr>
        <w:t>)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دت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)، ص: 16. 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إبراهيم الحاوي: حركة النقد الحديث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والمعاصرفي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الشعر العربي ، مؤسسة الرسالة، بيروت، لبنان، ط1، 1984،ص: 18.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أنس داود : رواد التجديد في الشعر العربي الحديث ، منشورات المنشأة الشعبية للنشر و التوزيع و الإعلان د . ط </w:t>
      </w:r>
      <w:r>
        <w:rPr>
          <w:rFonts w:ascii="Traditional Arabic" w:hAnsi="Traditional Arabic" w:cs="Traditional Arabic" w:hint="cs"/>
          <w:sz w:val="24"/>
          <w:szCs w:val="24"/>
          <w:rtl/>
        </w:rPr>
        <w:t>،د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.ت ، ص 50.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عبد المنعم خفاجي: حركات التجديد في الشعر الحديث ومدارسه.ص 14.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محمد عبد المنعم خفاجي : دراسات في الأدب العربي الحديث ومدارسه، مكتبة الأزهر، المحمدية بالأزهر، القاهرة.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دط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، د.ت ج2 .ص61.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محمد مصايف : جماعة الديوان في النقد ص 70 .71.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عباس محمود العقاد : ساعات بين الكتب، دار الفكر، ، القاهرة ،مصر .د ط ، د.ت 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51 - 52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إبراهيم الحاوي : حركة النقد الحديث و المعاصر في الشعر العربي ص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ص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63-64 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عباس محمود العقاد : ساعات بين الكتب ص 124.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حامد شوكت، ورجاء عيد : مقومات الشعر العربي الحديث والمعاصر، دار الفكر العربي د.ط ، د.ت ص 40.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- محمد زغلول سلام: النقد الأدبي الحديث أصوله واتجاهاته ورواده، ص : 233/ 234.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ينظر/ إبراهيم الحاوي: حركة النقد الحديث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والمعاصرفي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الشعر العربي، ص: 69/70.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طه مصطفى، أبو كريشة: ميزان الشعر عند العقاد دار الفكر العربي ط1، ت 1998 ، ص 244.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إبراهيم، الحاوي : حركة النقد الحديث والمعاصر في الشعر العربي، الشركة المتحدة للنشر والتوزيع ، ط1 ، ت 1984 ، ص 74.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طه مصطفى، أبو كريشة: ميزان الشعر عند العقاد، دار الفكر العربي، القاهرة، د .ط 1998م . ص75.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المرجع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السابق،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 61.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أنس داوود: رواد التجديد في الشعر العربي الحديث ص 50.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عيسى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الناعوري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أدب المهجر، دار المعارف مصر، ط3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1977 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ص 69.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 /محمد أحمد ربيع: في تاريخ الأدب العربي الحديث، دار الفكر ، عمان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الاردن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، ط2، 2006، ص: 56/57.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صابر عبد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الدايم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: أدب المهجر، دار المعارف ، مصر، ط1، 1993 ، ص: 18.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- ميخائيل نعيمة: الغربال، دار نوفل للطباعة والنشر، بيروت، لبنان ، ط25، 1991، ص 127.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ينظر/ عيسى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الناعوري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:  أدب المهجر ، ص : 24.</w:t>
      </w:r>
    </w:p>
    <w:p w:rsidR="00D01674" w:rsidRPr="00663FFE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663FFE">
        <w:rPr>
          <w:rStyle w:val="a5"/>
          <w:rFonts w:ascii="Traditional Arabic" w:hAnsi="Traditional Arabic" w:cs="Traditional Arabic"/>
          <w:sz w:val="24"/>
          <w:szCs w:val="24"/>
        </w:rPr>
        <w:lastRenderedPageBreak/>
        <w:footnoteRef/>
      </w:r>
      <w:r w:rsidRPr="00663FFE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663FFE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إبراهيم حاوي : حركة النقد الحديث </w:t>
      </w:r>
      <w:proofErr w:type="spellStart"/>
      <w:r w:rsidRPr="00663FFE">
        <w:rPr>
          <w:rFonts w:ascii="Traditional Arabic" w:hAnsi="Traditional Arabic" w:cs="Traditional Arabic"/>
          <w:sz w:val="24"/>
          <w:szCs w:val="24"/>
          <w:rtl/>
          <w:lang w:bidi="ar-DZ"/>
        </w:rPr>
        <w:t>والمعاصرفي</w:t>
      </w:r>
      <w:proofErr w:type="spellEnd"/>
      <w:r w:rsidRPr="00663FFE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الشعر العربي، ص91.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ينظر: إبراهيم الحاوي، حركة النقد الحديث و المعاصر في الشعر العربي، مؤسسة الرسالة، بيروت لبنان ط1، 1984 ص 85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علي مصطفى صبح من الأدب الحديث الجزائر 1984 ص 74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ينظر: إبراهيم الحاوي، حركة النقد الحديث و المعاصر في الشعر العربي، ص 87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شلتاغ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عبود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شراد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حركة الشعر الحر في الجزائر، ص 36.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 أنس داود، رواد التجديد في الشعر العربي الحديث، ص 74.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محمد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النويصي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قضية الشعر الجديد، جامعة الدول العربية، معهد الدراسات العالمية، القاهرة، ط1، 1964، ص 121.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ينظر: كمال نشأت: أبو شادي و حركة التجديد في الشعر العربي الحديث، دار الكتاب العربي للطباعة و النشر القاهرة مصر، ط1، 1967 ص 409 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 علي عشري زايد: عن بناء القصيدة العربية الحديثة، مكتبة الآداب، القاهرة، ط5، 2008، ص 34.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شعر الحداثة وموقفه من التراث الكلاسيكي للشعر العربي، مقال ممدوح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السكاف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مجلة الموقف الأدبي، عدد 449، اتحاد الكتاب العرب، دمشق ، 2008، ص 57.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 جابر عصفور: الصورة الفنية في التراث النقدي والبلاغي عند العرب، ط3، 1992، المركز الثقافي العربي، ص 119.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ماجد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قاروط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المعذب في الشعر العربي الحديث في سوريا ولبنان من عام 1945 إلى عام 1985، دراسات جمالية، منشورات اتحاد الكتاب العرب، 1999، ص 374.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آمنة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بلعلى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، أثر الرمز في بنية القصيدة العربية المعاصرة،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دط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دت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ص 3.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ربيعي محمد علي عبد الخالق: أثر التراث العربي القديم في الشعر العربي المعاصر، دار المعرفة الجامعية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الاسكندرية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د.ط، 1989، ص 41.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bookmarkStart w:id="0" w:name="_GoBack"/>
      <w:bookmarkEnd w:id="0"/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الدكتور الشريف مربعي: اللغة العربية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وأدابها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الديوان الوطني للمطبوعات المدرسية، وزارة التربية الوطنية، د.ط، 2008، ص 143.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-الشريف الربيعي: اللغة العربية وآدابها، ص 55.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-عبد الله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الغذامي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الصوت القديم الجديد، ص 16.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-شوقي ضيف: دراسات في الشعر العربي المعاصر، دار المعارف، القاهرة، ط7، د.ت، ص 133.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 المرجع نفسه.</w:t>
      </w:r>
      <w:r>
        <w:rPr>
          <w:rFonts w:ascii="Traditional Arabic" w:hAnsi="Traditional Arabic" w:cs="Traditional Arabic" w:hint="cs"/>
          <w:sz w:val="24"/>
          <w:szCs w:val="24"/>
          <w:rtl/>
        </w:rPr>
        <w:t>ص135.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 محمد مصايف: جماعة الديوان في النقد، الشركة الوطنية للنشر والتوزيع، الجزائر، ط2، 1982، ص 217.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(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vertAlign w:val="superscript"/>
          <w:rtl/>
        </w:rPr>
        <w:t>)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 المصدر نفسه.</w:t>
      </w:r>
      <w:r>
        <w:rPr>
          <w:rFonts w:ascii="Traditional Arabic" w:hAnsi="Traditional Arabic" w:cs="Traditional Arabic" w:hint="cs"/>
          <w:sz w:val="24"/>
          <w:szCs w:val="24"/>
          <w:rtl/>
        </w:rPr>
        <w:t>ص218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مصطفى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السيوفي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منى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غيطاس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النقد الأدبي الحديث الدار الدولية للاستثمارات الثقافية القاهرة مصر الطبعة الأولى 2010-2011 ص 75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علي مصطفى صبح من الأدب الحديث ص 76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مصطفى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السيوفي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تاريخ الأدب العربي الحديث ص 84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ينظر: إبراهيم الحاوي: حركة النقد الحديث و المعاصر في الشعر العربي ص 91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علي مصطفى صبح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من الأدب الحديث ص 76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center"/>
        <w:rPr>
          <w:rFonts w:ascii="Traditional Arabic" w:hAnsi="Traditional Arabic" w:cs="Traditional Arabic"/>
          <w:sz w:val="24"/>
          <w:szCs w:val="24"/>
          <w:rtl/>
        </w:rPr>
      </w:pP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السيوفي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، النقد الأدبي الحديث </w:t>
      </w:r>
      <w:r>
        <w:rPr>
          <w:rFonts w:ascii="Traditional Arabic" w:hAnsi="Traditional Arabic" w:cs="Traditional Arabic" w:hint="cs"/>
          <w:sz w:val="24"/>
          <w:szCs w:val="24"/>
          <w:rtl/>
        </w:rPr>
        <w:t>ص 45.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B311B1" w:rsidRDefault="00D01674" w:rsidP="00D01674">
      <w:pPr>
        <w:pStyle w:val="a4"/>
        <w:bidi/>
        <w:rPr>
          <w:rtl/>
          <w:lang w:bidi="ar-DZ"/>
        </w:rPr>
      </w:pPr>
      <w:r>
        <w:rPr>
          <w:rStyle w:val="a5"/>
        </w:rPr>
        <w:footnoteRef/>
      </w:r>
      <w:r>
        <w:t xml:space="preserve"> </w:t>
      </w:r>
      <w:r w:rsidRPr="00B311B1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محمد مندور: في الأدب والنقد ، دار </w:t>
      </w:r>
      <w:proofErr w:type="spellStart"/>
      <w:r w:rsidRPr="00B311B1">
        <w:rPr>
          <w:rFonts w:ascii="Traditional Arabic" w:hAnsi="Traditional Arabic" w:cs="Traditional Arabic"/>
          <w:sz w:val="24"/>
          <w:szCs w:val="24"/>
          <w:rtl/>
          <w:lang w:bidi="ar-DZ"/>
        </w:rPr>
        <w:t>نهظة</w:t>
      </w:r>
      <w:proofErr w:type="spellEnd"/>
      <w:r w:rsidRPr="00B311B1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مصر، </w:t>
      </w:r>
      <w:proofErr w:type="spellStart"/>
      <w:r w:rsidRPr="00B311B1">
        <w:rPr>
          <w:rFonts w:ascii="Traditional Arabic" w:hAnsi="Traditional Arabic" w:cs="Traditional Arabic"/>
          <w:sz w:val="24"/>
          <w:szCs w:val="24"/>
          <w:rtl/>
          <w:lang w:bidi="ar-DZ"/>
        </w:rPr>
        <w:t>الفجالة</w:t>
      </w:r>
      <w:proofErr w:type="spellEnd"/>
      <w:r w:rsidRPr="00B311B1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، القاهرة، د ت، ص: 20.</w:t>
      </w:r>
    </w:p>
    <w:p w:rsidR="00D01674" w:rsidRPr="000E04A6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0E04A6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0E04A6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E04A6">
        <w:rPr>
          <w:rFonts w:ascii="Traditional Arabic" w:hAnsi="Traditional Arabic" w:cs="Traditional Arabic"/>
          <w:sz w:val="24"/>
          <w:szCs w:val="24"/>
          <w:rtl/>
          <w:lang w:bidi="ar-DZ"/>
        </w:rPr>
        <w:t>- سيد قطب : النقد الأدبي أصوله ومناهجه، دار الشرق ، مصر ، د ط ، د ت، ص : 13 .</w:t>
      </w:r>
    </w:p>
    <w:p w:rsidR="00D01674" w:rsidRPr="00192DE8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192DE8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192DE8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192DE8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ينظر/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المرجع نفسه</w:t>
      </w:r>
      <w:r w:rsidRPr="00192DE8">
        <w:rPr>
          <w:rFonts w:ascii="Traditional Arabic" w:hAnsi="Traditional Arabic" w:cs="Traditional Arabic"/>
          <w:sz w:val="24"/>
          <w:szCs w:val="24"/>
          <w:rtl/>
          <w:lang w:bidi="ar-DZ"/>
        </w:rPr>
        <w:t>، ص: 20/25.</w:t>
      </w:r>
    </w:p>
    <w:p w:rsidR="00D01674" w:rsidRPr="006E71E0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6E71E0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6E71E0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6E71E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يوسف </w:t>
      </w:r>
      <w:proofErr w:type="spellStart"/>
      <w:r w:rsidRPr="006E71E0">
        <w:rPr>
          <w:rFonts w:ascii="Traditional Arabic" w:hAnsi="Traditional Arabic" w:cs="Traditional Arabic"/>
          <w:sz w:val="24"/>
          <w:szCs w:val="24"/>
          <w:rtl/>
          <w:lang w:bidi="ar-DZ"/>
        </w:rPr>
        <w:t>وغليسي</w:t>
      </w:r>
      <w:proofErr w:type="spellEnd"/>
      <w:r w:rsidRPr="006E71E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النقد الجزائري المعاصر من </w:t>
      </w:r>
      <w:proofErr w:type="spellStart"/>
      <w:r w:rsidRPr="006E71E0">
        <w:rPr>
          <w:rFonts w:ascii="Traditional Arabic" w:hAnsi="Traditional Arabic" w:cs="Traditional Arabic"/>
          <w:sz w:val="24"/>
          <w:szCs w:val="24"/>
          <w:rtl/>
          <w:lang w:bidi="ar-DZ"/>
        </w:rPr>
        <w:t>اللانسونية</w:t>
      </w:r>
      <w:proofErr w:type="spellEnd"/>
      <w:r w:rsidRPr="006E71E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إلى الألسنية، الصندوق الوطني لترقية الفنون والآداب ، الجزائر،2002، ص 20.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</w:t>
      </w:r>
      <w:r w:rsidRPr="0095111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بسام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قطوس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لمدخل إلى مناهج النقد المعاصر، ، دار الوفاء</w:t>
      </w:r>
      <w:r>
        <w:rPr>
          <w:rFonts w:ascii="Traditional Arabic" w:hAnsi="Traditional Arabic" w:cs="Traditional Arabic" w:hint="cs"/>
          <w:sz w:val="24"/>
          <w:szCs w:val="24"/>
          <w:rtl/>
        </w:rPr>
        <w:t>، ص 52.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الدكتور محمد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السيوفي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النقد الأدبي الحديث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</w:p>
    <w:p w:rsidR="00D01674" w:rsidRDefault="00D01674" w:rsidP="00D01674">
      <w:pPr>
        <w:pStyle w:val="a4"/>
        <w:bidi/>
        <w:rPr>
          <w:rtl/>
          <w:lang w:bidi="ar-DZ"/>
        </w:rPr>
      </w:pPr>
    </w:p>
    <w:p w:rsidR="00D01674" w:rsidRPr="000619BB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E4449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E4449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E4449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</w:t>
      </w:r>
      <w:proofErr w:type="spellStart"/>
      <w:r w:rsidRPr="00DE4449">
        <w:rPr>
          <w:rFonts w:ascii="Traditional Arabic" w:hAnsi="Traditional Arabic" w:cs="Traditional Arabic"/>
          <w:sz w:val="24"/>
          <w:szCs w:val="24"/>
          <w:rtl/>
          <w:lang w:bidi="ar-DZ"/>
        </w:rPr>
        <w:t>ابراهيم</w:t>
      </w:r>
      <w:proofErr w:type="spellEnd"/>
      <w:r w:rsidRPr="00DE4449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الحاوي: حركة النقد الحديث والمعاصر في </w:t>
      </w:r>
      <w:proofErr w:type="spellStart"/>
      <w:r w:rsidRPr="00DE4449">
        <w:rPr>
          <w:rFonts w:ascii="Traditional Arabic" w:hAnsi="Traditional Arabic" w:cs="Traditional Arabic"/>
          <w:sz w:val="24"/>
          <w:szCs w:val="24"/>
          <w:rtl/>
          <w:lang w:bidi="ar-DZ"/>
        </w:rPr>
        <w:t>الضعر</w:t>
      </w:r>
      <w:proofErr w:type="spellEnd"/>
      <w:r w:rsidRPr="00DE4449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العربي، مؤسسة الرسالة ط1،1984،ص:115.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صالح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هويدات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: النقد الأدبي الحديث ،قضاياه ومناهجه ،ص94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ينظر : صلاح فضل : مناهج النقد المعاصر ،دار الأفاق العربية ، القاهرة ،مصر ،ط1 ، 1417 ،ص 44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المرجع نفسه ص 45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رضوان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ظاظ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مدخل إلى مناهج النقد الأدبي ،.ص142 .</w:t>
      </w:r>
    </w:p>
    <w:p w:rsidR="00D01674" w:rsidRPr="00354669" w:rsidRDefault="00D01674" w:rsidP="00D01674">
      <w:pPr>
        <w:pStyle w:val="a4"/>
        <w:bidi/>
        <w:rPr>
          <w:rtl/>
          <w:lang w:bidi="ar-DZ"/>
        </w:rPr>
      </w:pPr>
      <w:r>
        <w:rPr>
          <w:rStyle w:val="a5"/>
        </w:rPr>
        <w:footnoteRef/>
      </w:r>
      <w:r>
        <w:t xml:space="preserve"> </w:t>
      </w:r>
      <w:r w:rsidRPr="00354669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ينظر/ يوسف </w:t>
      </w:r>
      <w:proofErr w:type="spellStart"/>
      <w:r w:rsidRPr="00354669">
        <w:rPr>
          <w:rFonts w:ascii="Traditional Arabic" w:hAnsi="Traditional Arabic" w:cs="Traditional Arabic"/>
          <w:sz w:val="24"/>
          <w:szCs w:val="24"/>
          <w:rtl/>
          <w:lang w:bidi="ar-DZ"/>
        </w:rPr>
        <w:t>وغليسي</w:t>
      </w:r>
      <w:proofErr w:type="spellEnd"/>
      <w:r w:rsidRPr="00354669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: النقد الجزائري المعاصر من </w:t>
      </w:r>
      <w:proofErr w:type="spellStart"/>
      <w:r w:rsidRPr="00354669">
        <w:rPr>
          <w:rFonts w:ascii="Traditional Arabic" w:hAnsi="Traditional Arabic" w:cs="Traditional Arabic"/>
          <w:sz w:val="24"/>
          <w:szCs w:val="24"/>
          <w:rtl/>
          <w:lang w:bidi="ar-DZ"/>
        </w:rPr>
        <w:t>اللانسونية</w:t>
      </w:r>
      <w:proofErr w:type="spellEnd"/>
      <w:r w:rsidRPr="00354669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إلى الألسنية، ص : 93/40.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- إبراهيم الحاوي: حركة النقد الحديث والمعاصر: ص: 119.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رضوان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ظاظ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مدخل إلى مناهج النقد ،.ص158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المرجع نفسه . ص159-162 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footnoteRef/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صالح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هويدات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:النقد الأدبي الحديث ـ قضاياه ومناهجه: 97.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footnoteRef/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انظر: النقد الأدبي الحديث ـ أسسه الجمالية ومناهجه المعاصرة: 74.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footnoteRef/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انظر: النقد الأدبي الحديث ـ أسسه الجمالية ومناهجه المعاصرة: 75.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footnoteRef/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انظر: النقد الأدبي الحديث ـ أسسه الجمالية ومناهجه المعاصرة: 74.</w:t>
      </w:r>
    </w:p>
    <w:p w:rsidR="00D01674" w:rsidRPr="00345A2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345A2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345A2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345A2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</w:t>
      </w:r>
      <w:proofErr w:type="spellStart"/>
      <w:r w:rsidRPr="00345A2A">
        <w:rPr>
          <w:rFonts w:ascii="Traditional Arabic" w:hAnsi="Traditional Arabic" w:cs="Traditional Arabic"/>
          <w:sz w:val="24"/>
          <w:szCs w:val="24"/>
          <w:rtl/>
          <w:lang w:bidi="ar-DZ"/>
        </w:rPr>
        <w:t>ابراهيم</w:t>
      </w:r>
      <w:proofErr w:type="spellEnd"/>
      <w:r w:rsidRPr="00345A2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حاوي: حركة النقد الحديث والمعاصر في الشعر العربي، ص 112.</w:t>
      </w:r>
    </w:p>
    <w:p w:rsidR="00D01674" w:rsidRPr="00DC0A4A" w:rsidRDefault="00D01674" w:rsidP="00D01674">
      <w:pPr>
        <w:pStyle w:val="a3"/>
        <w:tabs>
          <w:tab w:val="left" w:pos="1722"/>
        </w:tabs>
        <w:bidi/>
        <w:ind w:left="57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345A2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345A2A">
        <w:rPr>
          <w:rFonts w:ascii="Traditional Arabic" w:hAnsi="Traditional Arabic" w:cs="Traditional Arabic"/>
          <w:sz w:val="24"/>
          <w:szCs w:val="24"/>
          <w:rtl/>
          <w:lang w:bidi="ar-DZ"/>
        </w:rPr>
        <w:t>- ينظر/أحمد أمين : النقد الأدبي ،مكتبة النهضة المصرية ،القاهرة ،1972 ص: 75/76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يوسف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وغليسي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مناهج النقد الأدبي، جسور للنشر و التوزيع الجزائر، ط01، 2007، ص 22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- مارسيل ماريني: النقد التحليلي النفسي، عالم المعرفة، تر/رضا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ظاظا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يناير 1978، ص: 49.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footnoteRef/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انظر: دليل الناقد الأدبي،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ميجان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الرويلي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، سعد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البازعي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المركز الثقافي العربي، الدار البيضاء، ط5، 2007: 332.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وليد قصاب، مناهج النقد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الادبي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دار الفكر، دمشق ط01، 2007، ص 54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صايل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حميدان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قضايا النقد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الادبي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الحديث، دار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الامل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للنشر و التوزيع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الاردن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ط01، 1991، ص 96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وليد قصاب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مناهج النقد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الادبي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ص 55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وليد قصاب ، مناهج النقد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الادبي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 57، 58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footnoteRef/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انظر: النقد الأدبي الحديث، قضاياه ومناهجه: 92.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footnoteRef/>
      </w: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انظر: المرجع </w:t>
      </w:r>
      <w:r>
        <w:rPr>
          <w:rFonts w:ascii="Traditional Arabic" w:hAnsi="Traditional Arabic" w:cs="Traditional Arabic" w:hint="cs"/>
          <w:sz w:val="24"/>
          <w:szCs w:val="24"/>
          <w:rtl/>
        </w:rPr>
        <w:t>نفسه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: 92.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يوسف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وغليسي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مناهج النقد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الادبي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ص 25، 27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وليد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ققصاب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مناهج النقد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الادبي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ص 67،71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sz w:val="24"/>
          <w:szCs w:val="24"/>
          <w:rtl/>
        </w:rPr>
        <w:t xml:space="preserve"> يوسف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وغليسي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مناهج النقد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الادبي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 32،33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الحسن بن هانئ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ابو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نواس ، الديوان، دار الكتاب العربي، بيروت ص 24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الحفني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عبد المنعم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موسوعة الكب</w:t>
      </w:r>
      <w:r>
        <w:rPr>
          <w:rFonts w:ascii="Traditional Arabic" w:hAnsi="Traditional Arabic" w:cs="Traditional Arabic" w:hint="cs"/>
          <w:sz w:val="24"/>
          <w:szCs w:val="24"/>
          <w:rtl/>
        </w:rPr>
        <w:t>ت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النفسي المجلد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الاول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، ص 447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بو نواس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الديوان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 289</w:t>
      </w: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مندور: في الأدب والنقد: نهضة مصر للطباعة والنشر والتوزيع ،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الفجالة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القاهرة ص 108، 109.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محمد زغلول سلام : النقد الأدبي الحديث أصوله واتجاهاته رواده، منشأة المعارف ،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الاسكندرية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، مصر،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دط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/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دت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  <w:lang w:bidi="ar-DZ"/>
        </w:rPr>
        <w:t>، 133.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ين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طر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فائق مصطفى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وعبد الرضا علي: في النقد الأدبي الحديث منطلقات وتطبيقات، دار الكتب للطباعة والنشر العراق ط1، 1989 ص 71 /72.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المرجع </w:t>
      </w:r>
      <w:r>
        <w:rPr>
          <w:rFonts w:ascii="Traditional Arabic" w:hAnsi="Traditional Arabic" w:cs="Traditional Arabic" w:hint="cs"/>
          <w:sz w:val="24"/>
          <w:szCs w:val="24"/>
          <w:rtl/>
        </w:rPr>
        <w:t>السابق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، ص73.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محمد عبد المنعم خفاجة: مدارس النقد الأدبي الحديث، عربية للطباعة والنشر الطبع المدني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القاهرة: </w:t>
      </w:r>
      <w:r>
        <w:rPr>
          <w:rFonts w:ascii="Traditional Arabic" w:hAnsi="Traditional Arabic" w:cs="Traditional Arabic" w:hint="cs"/>
          <w:sz w:val="24"/>
          <w:szCs w:val="24"/>
          <w:rtl/>
        </w:rPr>
        <w:t>ط1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1995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ص 156.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footnoteRef/>
      </w:r>
      <w:r w:rsidRPr="00DC0A4A">
        <w:rPr>
          <w:rFonts w:ascii="Traditional Arabic" w:hAnsi="Traditional Arabic" w:cs="Traditional Arabic"/>
          <w:sz w:val="24"/>
          <w:szCs w:val="24"/>
          <w:rtl/>
        </w:rPr>
        <w:t>- محمد زغلول سلام : النقد الأدبي الحديث أصوله واتجاهاته ورواده،ص: 139.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</w:rPr>
        <w:lastRenderedPageBreak/>
        <w:footnoteRef/>
      </w:r>
      <w:r w:rsidRPr="00DC0A4A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>محمد عبد المنعم خفاجة: مدارس النقد الأدبي الحديث، ص 157.</w:t>
      </w:r>
    </w:p>
    <w:p w:rsidR="00D01674" w:rsidRPr="00DC0A4A" w:rsidRDefault="00D01674" w:rsidP="00D01674">
      <w:pPr>
        <w:pStyle w:val="a4"/>
        <w:bidi/>
        <w:jc w:val="both"/>
        <w:rPr>
          <w:rFonts w:ascii="Traditional Arabic" w:hAnsi="Traditional Arabic" w:cs="Traditional Arabic"/>
          <w:sz w:val="24"/>
          <w:szCs w:val="24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>"1"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يعيد إبراهيم خليل في كتابه : النقد الأدبي الحديث, ص 77. مصطلح (النقد الجديد) إلى العام 1911 عندما أطلق " جون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كرانسوم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" الاسم على كتابه النقدي . . ودافع النقاد الجدد عن قراءة النص من الداخل,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وقدمو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تحليلا مفصلا للبنية الشعرية . . ودافع النقاد الجدد عن قراءة النص من الداخل, وقدموا تحليلا مفصلا للبنية الشعرية, بدلا من الاهتمام بعقل وشخصية المبدع والمصادر وتواريخ الأفكار والمضامين الموجهة فقط !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>"1"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فؤاد المرعي: الوعي الجمالي عند العرب قبل الإسلام, دار الأبجدية, دمشق, ط 1 , 1989م, ص 14.</w:t>
      </w:r>
    </w:p>
    <w:p w:rsidR="00D01674" w:rsidRDefault="00D01674" w:rsidP="00D01674">
      <w:pPr>
        <w:pStyle w:val="a4"/>
        <w:bidi/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>"1"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 المعادل الموضوعي هو ما يسميه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إليوت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" القوة الناقدة" و" والقوة الخالقة" عند الشاعر. ويعني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به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أن الشاعر ينفعل بموضوعه ويتعاطف معه, وعليه ألا يعبر عن انفعاله, بل عليه أن يجد لهذا الانفعال (معادلا موضوعيا) يساويه ويوازيه ويحدده . . وهو يرتكز في ذلك إلى الجانب الفني وتقنياته, مما جعله يلتقي بالاتجاه الجمالي في المناهج النقدية أو " الفن للفن" الذي يرفض توظيف الأدب والفن في خدمة أهداف معينه؛ حيث شن (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إليوت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) هجوما على المذاهب الأدبية المخالفة لفلسفته ورؤيته, وخاصة تلك المذاهب الحديثة الرافضة للفكر الكلاسيكي وقواعده الأدبية والأخلاقية , ولم تكتف المدرسة الموضوعية (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الإليوتية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= نسبة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لإليوت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) بل راحت تدعو إلى إحياء التراث الكلاسيكي ومبادئه العامة, وجعله أساسا في العملية الإبداعية.</w:t>
      </w:r>
    </w:p>
    <w:p w:rsidR="00D01674" w:rsidRPr="00DC0A4A" w:rsidRDefault="00D01674" w:rsidP="00D01674">
      <w:pPr>
        <w:pStyle w:val="a4"/>
        <w:jc w:val="right"/>
        <w:rPr>
          <w:rFonts w:ascii="Traditional Arabic" w:hAnsi="Traditional Arabic" w:cs="Traditional Arabic"/>
          <w:sz w:val="24"/>
          <w:szCs w:val="24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>"1"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فؤاد المرعي: الجمال والجلال ( دراسة في المقولات الجمالية), دار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طلاس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, دمشق, ط1, 1991م, ص 7.</w:t>
      </w:r>
    </w:p>
    <w:p w:rsidR="00D01674" w:rsidRPr="00DC0A4A" w:rsidRDefault="00D01674" w:rsidP="00D01674">
      <w:pPr>
        <w:pStyle w:val="a4"/>
        <w:bidi/>
        <w:rPr>
          <w:rFonts w:ascii="Traditional Arabic" w:hAnsi="Traditional Arabic" w:cs="Traditional Arabic"/>
          <w:sz w:val="24"/>
          <w:szCs w:val="24"/>
        </w:rPr>
      </w:pPr>
      <w:r w:rsidRPr="00DC0A4A">
        <w:rPr>
          <w:rStyle w:val="a5"/>
          <w:rFonts w:ascii="Traditional Arabic" w:hAnsi="Traditional Arabic" w:cs="Traditional Arabic"/>
          <w:sz w:val="24"/>
          <w:szCs w:val="24"/>
          <w:rtl/>
        </w:rPr>
        <w:t>"2"</w:t>
      </w:r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الرويلي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Pr="00DC0A4A">
        <w:rPr>
          <w:rFonts w:ascii="Traditional Arabic" w:hAnsi="Traditional Arabic" w:cs="Traditional Arabic"/>
          <w:sz w:val="24"/>
          <w:szCs w:val="24"/>
          <w:rtl/>
        </w:rPr>
        <w:t>والبازعي</w:t>
      </w:r>
      <w:proofErr w:type="spellEnd"/>
      <w:r w:rsidRPr="00DC0A4A">
        <w:rPr>
          <w:rFonts w:ascii="Traditional Arabic" w:hAnsi="Traditional Arabic" w:cs="Traditional Arabic"/>
          <w:sz w:val="24"/>
          <w:szCs w:val="24"/>
          <w:rtl/>
        </w:rPr>
        <w:t>: دليل الناقد الأدبي, ص 210- 211.</w:t>
      </w:r>
    </w:p>
    <w:p w:rsidR="0085053F" w:rsidRDefault="0085053F"/>
    <w:sectPr w:rsidR="0085053F" w:rsidSect="0085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54277"/>
    <w:multiLevelType w:val="hybridMultilevel"/>
    <w:tmpl w:val="F23EE4B4"/>
    <w:lvl w:ilvl="0" w:tplc="4FDAE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1674"/>
    <w:rsid w:val="0085053F"/>
    <w:rsid w:val="00D0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74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D01674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har">
    <w:name w:val="نص حاشية سفلية Char"/>
    <w:basedOn w:val="a0"/>
    <w:link w:val="a4"/>
    <w:uiPriority w:val="99"/>
    <w:rsid w:val="00D01674"/>
    <w:rPr>
      <w:rFonts w:eastAsiaTheme="minorEastAsia"/>
      <w:sz w:val="20"/>
      <w:szCs w:val="20"/>
      <w:lang w:eastAsia="fr-FR"/>
    </w:rPr>
  </w:style>
  <w:style w:type="character" w:styleId="a5">
    <w:name w:val="footnote reference"/>
    <w:basedOn w:val="a0"/>
    <w:uiPriority w:val="99"/>
    <w:semiHidden/>
    <w:unhideWhenUsed/>
    <w:rsid w:val="00D016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1</cp:revision>
  <dcterms:created xsi:type="dcterms:W3CDTF">2020-09-27T17:10:00Z</dcterms:created>
  <dcterms:modified xsi:type="dcterms:W3CDTF">2020-09-27T17:11:00Z</dcterms:modified>
</cp:coreProperties>
</file>