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000"/>
        <w:gridCol w:w="1900"/>
        <w:gridCol w:w="3213"/>
        <w:gridCol w:w="3326"/>
      </w:tblGrid>
      <w:tr w:rsidR="00401298" w:rsidRPr="000465F9" w:rsidTr="00723AF1">
        <w:trPr>
          <w:trHeight w:val="992"/>
        </w:trPr>
        <w:tc>
          <w:tcPr>
            <w:tcW w:w="94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298" w:rsidRPr="005611AB" w:rsidRDefault="00401298" w:rsidP="005611AB">
            <w:pPr>
              <w:shd w:val="clear" w:color="auto" w:fill="FFFFFF"/>
              <w:bidi/>
              <w:jc w:val="center"/>
              <w:rPr>
                <w:rFonts w:ascii="Arial" w:eastAsia="Times New Roman" w:hAnsi="Arial" w:cs="Arial"/>
                <w:b/>
                <w:bCs/>
                <w:color w:val="545251"/>
                <w:sz w:val="20"/>
                <w:szCs w:val="20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قائمة بحوث مقياس إدارة جودة الخدمات المصرفية:</w:t>
            </w:r>
          </w:p>
          <w:p w:rsidR="00401298" w:rsidRPr="005611AB" w:rsidRDefault="00401298" w:rsidP="005611AB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السنة الثانية </w:t>
            </w:r>
            <w:proofErr w:type="spell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ماستر</w:t>
            </w:r>
            <w:proofErr w:type="spell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 علوم تجارية.                                                     </w:t>
            </w:r>
            <w:proofErr w:type="gram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السنة</w:t>
            </w:r>
            <w:proofErr w:type="gram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 </w:t>
            </w:r>
            <w:proofErr w:type="spell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الجامعية:</w:t>
            </w:r>
            <w:proofErr w:type="spell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 2020/2021</w:t>
            </w:r>
          </w:p>
          <w:p w:rsidR="00401298" w:rsidRPr="005611AB" w:rsidRDefault="00401298" w:rsidP="005611AB">
            <w:pPr>
              <w:shd w:val="clear" w:color="auto" w:fill="FFFFFF"/>
              <w:bidi/>
              <w:rPr>
                <w:rFonts w:eastAsia="Times New Roman"/>
                <w:color w:val="000000" w:themeColor="text1"/>
                <w:sz w:val="20"/>
                <w:szCs w:val="20"/>
                <w:rtl/>
                <w:lang w:eastAsia="fr-FR" w:bidi="ar-DZ"/>
              </w:rPr>
            </w:pPr>
            <w:proofErr w:type="spellStart"/>
            <w:proofErr w:type="gram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التخصص</w:t>
            </w:r>
            <w:proofErr w:type="gram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:</w:t>
            </w:r>
            <w:proofErr w:type="spell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 تسويق مصرفي.                                                           أستاذ </w:t>
            </w:r>
            <w:proofErr w:type="spell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المقياس:</w:t>
            </w:r>
            <w:proofErr w:type="spell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 د/</w:t>
            </w:r>
            <w:proofErr w:type="spell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عميش</w:t>
            </w:r>
            <w:proofErr w:type="spell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. س</w:t>
            </w:r>
          </w:p>
        </w:tc>
      </w:tr>
      <w:tr w:rsidR="00401298" w:rsidRPr="000465F9" w:rsidTr="00723AF1">
        <w:trPr>
          <w:trHeight w:val="805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  <w:t>رقم البحث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  <w:t>عنوان</w:t>
            </w:r>
            <w:proofErr w:type="gramEnd"/>
            <w:r w:rsidRPr="005611AB"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البحث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:rsidR="00401298" w:rsidRPr="005611AB" w:rsidRDefault="00401298" w:rsidP="00401298">
            <w:pPr>
              <w:pStyle w:val="Heading2"/>
              <w:bidi/>
              <w:jc w:val="center"/>
              <w:outlineLvl w:val="1"/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  <w:t>محتوى</w:t>
            </w:r>
            <w:proofErr w:type="gramEnd"/>
            <w:r w:rsidRPr="005611AB"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البحث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:rsidR="00401298" w:rsidRPr="005611AB" w:rsidRDefault="00401298" w:rsidP="00401298">
            <w:pPr>
              <w:pStyle w:val="Heading2"/>
              <w:bidi/>
              <w:jc w:val="center"/>
              <w:outlineLvl w:val="1"/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eastAsia="Times New Roman" w:hint="cs"/>
                <w:color w:val="000000" w:themeColor="text1"/>
                <w:sz w:val="22"/>
                <w:szCs w:val="22"/>
                <w:rtl/>
                <w:lang w:eastAsia="fr-FR" w:bidi="ar-DZ"/>
              </w:rPr>
              <w:t>مجموعة</w:t>
            </w:r>
            <w:proofErr w:type="gramEnd"/>
            <w:r w:rsidRPr="005611AB">
              <w:rPr>
                <w:rFonts w:eastAsia="Times New Roman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البحث</w:t>
            </w:r>
          </w:p>
        </w:tc>
      </w:tr>
      <w:tr w:rsidR="005611AB" w:rsidRPr="000465F9" w:rsidTr="00F005DE">
        <w:trPr>
          <w:trHeight w:val="1435"/>
        </w:trPr>
        <w:tc>
          <w:tcPr>
            <w:tcW w:w="1000" w:type="dxa"/>
            <w:vAlign w:val="center"/>
          </w:tcPr>
          <w:p w:rsidR="005611AB" w:rsidRPr="005611AB" w:rsidRDefault="005611AB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01</w:t>
            </w:r>
          </w:p>
        </w:tc>
        <w:tc>
          <w:tcPr>
            <w:tcW w:w="1900" w:type="dxa"/>
            <w:vAlign w:val="center"/>
          </w:tcPr>
          <w:p w:rsidR="005611AB" w:rsidRPr="005611AB" w:rsidRDefault="005611AB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ماهية الجودة</w:t>
            </w:r>
          </w:p>
        </w:tc>
        <w:tc>
          <w:tcPr>
            <w:tcW w:w="3213" w:type="dxa"/>
            <w:vAlign w:val="center"/>
          </w:tcPr>
          <w:p w:rsidR="005611AB" w:rsidRPr="005611AB" w:rsidRDefault="005611AB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يتطرق هذا البحث عن المفاهيم الأساسية للجودة كتعريفها </w:t>
            </w: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وخصائصها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ومداخلها وتطورها التاريخي كما يشير الطالب إلى معنى وكيفية إدارتها.</w:t>
            </w:r>
          </w:p>
        </w:tc>
        <w:tc>
          <w:tcPr>
            <w:tcW w:w="3326" w:type="dxa"/>
            <w:vAlign w:val="center"/>
          </w:tcPr>
          <w:tbl>
            <w:tblPr>
              <w:tblpPr w:leftFromText="141" w:rightFromText="141" w:vertAnchor="text" w:horzAnchor="margin" w:tblpY="-529"/>
              <w:tblOverlap w:val="never"/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F005DE" w:rsidRPr="001C5B68" w:rsidTr="00F005DE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5DE" w:rsidRPr="001C5B68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بركي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5DE" w:rsidRPr="001C5B68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محمد</w:t>
                  </w:r>
                  <w:proofErr w:type="gramEnd"/>
                </w:p>
              </w:tc>
            </w:tr>
            <w:tr w:rsidR="00F005DE" w:rsidRPr="001C5B68" w:rsidTr="00F005DE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5DE" w:rsidRPr="001C5B68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بغدادي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5DE" w:rsidRPr="001C5B68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محمد صلاح الدين</w:t>
                  </w:r>
                </w:p>
              </w:tc>
            </w:tr>
            <w:tr w:rsidR="00F005DE" w:rsidRPr="001C5B68" w:rsidTr="00F005DE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5DE" w:rsidRPr="001C5B68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 xml:space="preserve">بن </w:t>
                  </w: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طلة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5DE" w:rsidRPr="001C5B68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بوبكر</w:t>
                  </w:r>
                  <w:proofErr w:type="spellEnd"/>
                </w:p>
              </w:tc>
            </w:tr>
          </w:tbl>
          <w:p w:rsidR="005611AB" w:rsidRDefault="005611AB" w:rsidP="005611AB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63147C" w:rsidRPr="000465F9" w:rsidTr="00F005DE">
        <w:trPr>
          <w:trHeight w:val="1389"/>
        </w:trPr>
        <w:tc>
          <w:tcPr>
            <w:tcW w:w="1000" w:type="dxa"/>
            <w:vAlign w:val="center"/>
          </w:tcPr>
          <w:p w:rsidR="0063147C" w:rsidRPr="005611AB" w:rsidRDefault="0063147C" w:rsidP="00F005DE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02</w:t>
            </w:r>
          </w:p>
        </w:tc>
        <w:tc>
          <w:tcPr>
            <w:tcW w:w="1900" w:type="dxa"/>
            <w:vAlign w:val="center"/>
          </w:tcPr>
          <w:p w:rsidR="0063147C" w:rsidRPr="005611AB" w:rsidRDefault="00D2601D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الجودة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الشاملة </w:t>
            </w:r>
          </w:p>
        </w:tc>
        <w:tc>
          <w:tcPr>
            <w:tcW w:w="3213" w:type="dxa"/>
            <w:vAlign w:val="center"/>
          </w:tcPr>
          <w:p w:rsidR="0063147C" w:rsidRPr="005611AB" w:rsidRDefault="00D2601D" w:rsidP="00D2601D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يمثل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هذا البحث كتوسع للبحث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السابق،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فمن خلاله يركز الباحث على توضيح ماهية مفهوم الجودة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الشاملة،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والفرق بينها وبين الجودة في المؤسسات.</w:t>
            </w:r>
          </w:p>
        </w:tc>
        <w:tc>
          <w:tcPr>
            <w:tcW w:w="3326" w:type="dxa"/>
          </w:tcPr>
          <w:tbl>
            <w:tblPr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1C5B68" w:rsidRPr="001C5B68" w:rsidTr="001C5B68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بودور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حسينة</w:t>
                  </w:r>
                  <w:proofErr w:type="spellEnd"/>
                </w:p>
              </w:tc>
            </w:tr>
            <w:tr w:rsidR="001C5B68" w:rsidRPr="001C5B68" w:rsidTr="001C5B68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بوقرة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سمير</w:t>
                  </w:r>
                  <w:proofErr w:type="gramEnd"/>
                </w:p>
              </w:tc>
            </w:tr>
            <w:tr w:rsidR="001C5B68" w:rsidRPr="001C5B68" w:rsidTr="001C5B68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F005DE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fr-FR"/>
                    </w:rPr>
                  </w:pPr>
                  <w:proofErr w:type="spellStart"/>
                  <w:r w:rsidRPr="00F005DE">
                    <w:rPr>
                      <w:rFonts w:ascii="Arial" w:eastAsia="Times New Roman" w:hAnsi="Arial" w:cs="Arial"/>
                      <w:b/>
                      <w:bCs/>
                      <w:color w:val="FF0000"/>
                      <w:rtl/>
                      <w:lang w:eastAsia="fr-FR"/>
                    </w:rPr>
                    <w:t>بيصار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F005DE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fr-FR"/>
                    </w:rPr>
                  </w:pPr>
                  <w:proofErr w:type="gramStart"/>
                  <w:r w:rsidRPr="00F005DE">
                    <w:rPr>
                      <w:rFonts w:ascii="Arial" w:eastAsia="Times New Roman" w:hAnsi="Arial" w:cs="Arial"/>
                      <w:b/>
                      <w:bCs/>
                      <w:color w:val="FF0000"/>
                      <w:rtl/>
                      <w:lang w:eastAsia="fr-FR"/>
                    </w:rPr>
                    <w:t>البشير</w:t>
                  </w:r>
                  <w:proofErr w:type="gramEnd"/>
                </w:p>
              </w:tc>
            </w:tr>
          </w:tbl>
          <w:p w:rsidR="0063147C" w:rsidRPr="005611AB" w:rsidRDefault="0063147C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  <w:tr w:rsidR="0063147C" w:rsidRPr="000465F9" w:rsidTr="00723AF1">
        <w:trPr>
          <w:trHeight w:val="1197"/>
        </w:trPr>
        <w:tc>
          <w:tcPr>
            <w:tcW w:w="1000" w:type="dxa"/>
            <w:vAlign w:val="center"/>
          </w:tcPr>
          <w:p w:rsidR="0063147C" w:rsidRPr="005611AB" w:rsidRDefault="0063147C" w:rsidP="00F005DE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03</w:t>
            </w:r>
          </w:p>
        </w:tc>
        <w:tc>
          <w:tcPr>
            <w:tcW w:w="1900" w:type="dxa"/>
            <w:vAlign w:val="center"/>
          </w:tcPr>
          <w:p w:rsidR="0063147C" w:rsidRPr="005611AB" w:rsidRDefault="0063147C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الخدمات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المصرفية</w:t>
            </w:r>
          </w:p>
        </w:tc>
        <w:tc>
          <w:tcPr>
            <w:tcW w:w="3213" w:type="dxa"/>
            <w:vAlign w:val="center"/>
          </w:tcPr>
          <w:p w:rsidR="0063147C" w:rsidRPr="005611AB" w:rsidRDefault="0063147C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يعتبر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هذا البحث كإعادة تذكير بالقطاع المصرفي ككل من مفهوم المصارف ونشأتها مع التركيز على إبراز خدمات المصرف التي تستوجب البحث في جودتها.</w:t>
            </w:r>
          </w:p>
        </w:tc>
        <w:tc>
          <w:tcPr>
            <w:tcW w:w="3326" w:type="dxa"/>
          </w:tcPr>
          <w:tbl>
            <w:tblPr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1C5B68" w:rsidRPr="001C5B68" w:rsidTr="001C5B68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شريط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الحاج</w:t>
                  </w:r>
                  <w:proofErr w:type="gramEnd"/>
                </w:p>
              </w:tc>
            </w:tr>
            <w:tr w:rsidR="001C5B68" w:rsidRPr="001C5B68" w:rsidTr="001C5B68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F005DE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fr-FR"/>
                    </w:rPr>
                  </w:pPr>
                  <w:proofErr w:type="gramStart"/>
                  <w:r w:rsidRPr="00F005DE">
                    <w:rPr>
                      <w:rFonts w:ascii="Arial" w:eastAsia="Times New Roman" w:hAnsi="Arial" w:cs="Arial"/>
                      <w:b/>
                      <w:bCs/>
                      <w:color w:val="FF0000"/>
                      <w:rtl/>
                      <w:lang w:eastAsia="fr-FR"/>
                    </w:rPr>
                    <w:t>شريف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F005DE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fr-FR"/>
                    </w:rPr>
                  </w:pPr>
                  <w:proofErr w:type="gramStart"/>
                  <w:r w:rsidRPr="00F005DE">
                    <w:rPr>
                      <w:rFonts w:ascii="Arial" w:eastAsia="Times New Roman" w:hAnsi="Arial" w:cs="Arial"/>
                      <w:b/>
                      <w:bCs/>
                      <w:color w:val="FF0000"/>
                      <w:rtl/>
                      <w:lang w:eastAsia="fr-FR"/>
                    </w:rPr>
                    <w:t>سمية</w:t>
                  </w:r>
                  <w:proofErr w:type="gramEnd"/>
                </w:p>
              </w:tc>
            </w:tr>
            <w:tr w:rsidR="001C5B68" w:rsidRPr="001C5B68" w:rsidTr="001C5B68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شيطر</w:t>
                  </w:r>
                  <w:proofErr w:type="spellEnd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فريد</w:t>
                  </w:r>
                  <w:proofErr w:type="gramEnd"/>
                </w:p>
              </w:tc>
            </w:tr>
          </w:tbl>
          <w:p w:rsidR="0063147C" w:rsidRPr="005611AB" w:rsidRDefault="0063147C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  <w:tr w:rsidR="0063147C" w:rsidRPr="000465F9" w:rsidTr="00723AF1">
        <w:trPr>
          <w:trHeight w:val="1470"/>
        </w:trPr>
        <w:tc>
          <w:tcPr>
            <w:tcW w:w="1000" w:type="dxa"/>
            <w:vAlign w:val="center"/>
          </w:tcPr>
          <w:p w:rsidR="0063147C" w:rsidRPr="005611AB" w:rsidRDefault="0063147C" w:rsidP="00F005DE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04</w:t>
            </w:r>
          </w:p>
        </w:tc>
        <w:tc>
          <w:tcPr>
            <w:tcW w:w="1900" w:type="dxa"/>
            <w:vAlign w:val="center"/>
          </w:tcPr>
          <w:p w:rsidR="0063147C" w:rsidRPr="005611AB" w:rsidRDefault="0063147C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جودة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الخدمات المصرفية</w:t>
            </w:r>
          </w:p>
        </w:tc>
        <w:tc>
          <w:tcPr>
            <w:tcW w:w="3213" w:type="dxa"/>
            <w:vAlign w:val="center"/>
          </w:tcPr>
          <w:p w:rsidR="0063147C" w:rsidRPr="005611AB" w:rsidRDefault="0063147C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يعتبر هذا البحث بمثابة الربط بين البحثين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السابقين،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حيث بعدما كان الحديث عن الجودة بصفة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عامة،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فإن هذا البحث سيحاول التركيز على خصوصية الجودة لدى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المصارف،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بالتركيز على جودة خدماتها. </w:t>
            </w:r>
          </w:p>
        </w:tc>
        <w:tc>
          <w:tcPr>
            <w:tcW w:w="3326" w:type="dxa"/>
          </w:tcPr>
          <w:p w:rsidR="0063147C" w:rsidRPr="00F005DE" w:rsidRDefault="0063147C" w:rsidP="00401298">
            <w:pPr>
              <w:pStyle w:val="Heading2"/>
              <w:numPr>
                <w:ilvl w:val="0"/>
                <w:numId w:val="3"/>
              </w:numPr>
              <w:bidi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DZ"/>
              </w:rPr>
            </w:pPr>
            <w:proofErr w:type="gramStart"/>
            <w:r w:rsidRPr="00F005DE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لوشاني</w:t>
            </w:r>
            <w:proofErr w:type="gramEnd"/>
            <w:r w:rsidRPr="00F005DE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شيماء</w:t>
            </w:r>
          </w:p>
          <w:p w:rsidR="0063147C" w:rsidRPr="00F005DE" w:rsidRDefault="0063147C" w:rsidP="00F005DE">
            <w:pPr>
              <w:pStyle w:val="Heading2"/>
              <w:numPr>
                <w:ilvl w:val="0"/>
                <w:numId w:val="3"/>
              </w:numPr>
              <w:bidi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 w:bidi="ar-DZ"/>
              </w:rPr>
            </w:pPr>
            <w:r w:rsidRPr="00F005DE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قاسمي ح</w:t>
            </w:r>
            <w:r w:rsidR="00F005DE" w:rsidRPr="00F005DE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س</w:t>
            </w:r>
            <w:r w:rsidRPr="00F005DE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يبة</w:t>
            </w:r>
          </w:p>
          <w:p w:rsidR="00F005DE" w:rsidRPr="00F005DE" w:rsidRDefault="00F005DE" w:rsidP="00F005DE">
            <w:pPr>
              <w:pStyle w:val="Heading2"/>
              <w:numPr>
                <w:ilvl w:val="0"/>
                <w:numId w:val="3"/>
              </w:numPr>
              <w:bidi/>
              <w:jc w:val="both"/>
              <w:outlineLvl w:val="1"/>
              <w:rPr>
                <w:color w:val="000000" w:themeColor="text1"/>
                <w:rtl/>
                <w:lang w:eastAsia="fr-FR" w:bidi="ar-DZ"/>
              </w:rPr>
            </w:pPr>
            <w:r w:rsidRPr="00F005D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  <w:t>لعلي</w:t>
            </w:r>
            <w:r w:rsidRPr="00F005DE">
              <w:rPr>
                <w:rFonts w:ascii="Arial" w:eastAsia="Times New Roman" w:hAnsi="Arial" w:cs="Arial"/>
                <w:b w:val="0"/>
                <w:bCs w:val="0"/>
                <w:color w:val="000000" w:themeColor="text1"/>
                <w:rtl/>
                <w:lang w:eastAsia="fr-FR"/>
              </w:rPr>
              <w:t xml:space="preserve"> </w:t>
            </w:r>
            <w:r w:rsidRPr="00F005DE">
              <w:rPr>
                <w:rFonts w:ascii="Arial" w:eastAsia="Times New Roman" w:hAnsi="Arial" w:cs="Arial"/>
                <w:color w:val="000000" w:themeColor="text1"/>
                <w:rtl/>
                <w:lang w:eastAsia="fr-FR"/>
              </w:rPr>
              <w:t>سمية</w:t>
            </w:r>
          </w:p>
        </w:tc>
      </w:tr>
      <w:tr w:rsidR="00401298" w:rsidRPr="000465F9" w:rsidTr="00723AF1">
        <w:trPr>
          <w:trHeight w:val="1195"/>
        </w:trPr>
        <w:tc>
          <w:tcPr>
            <w:tcW w:w="1000" w:type="dxa"/>
            <w:vAlign w:val="center"/>
          </w:tcPr>
          <w:p w:rsidR="00401298" w:rsidRPr="005611AB" w:rsidRDefault="00D2601D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05</w:t>
            </w:r>
          </w:p>
        </w:tc>
        <w:tc>
          <w:tcPr>
            <w:tcW w:w="19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التحسين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المستمر</w:t>
            </w:r>
          </w:p>
        </w:tc>
        <w:tc>
          <w:tcPr>
            <w:tcW w:w="3213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يتطرق هذا البحث إلى فلسفة التحسين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المستمر،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ومبادؤها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وأهدافها،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والتطرق إلى أبرز نماذج التحسين المستمر مثل نموذج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الكايزن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وغيره.</w:t>
            </w:r>
          </w:p>
        </w:tc>
        <w:tc>
          <w:tcPr>
            <w:tcW w:w="3326" w:type="dxa"/>
          </w:tcPr>
          <w:tbl>
            <w:tblPr>
              <w:tblpPr w:leftFromText="141" w:rightFromText="141" w:vertAnchor="text" w:horzAnchor="margin" w:tblpY="71"/>
              <w:tblOverlap w:val="never"/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F005DE" w:rsidRPr="003069B0" w:rsidTr="003069B0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5DE" w:rsidRPr="003069B0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lang w:eastAsia="fr-FR"/>
                    </w:rPr>
                  </w:pPr>
                  <w:proofErr w:type="gramStart"/>
                  <w:r w:rsidRPr="003069B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rtl/>
                      <w:lang w:eastAsia="fr-FR"/>
                    </w:rPr>
                    <w:t>ضبابي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5DE" w:rsidRPr="003069B0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lang w:eastAsia="fr-FR"/>
                    </w:rPr>
                  </w:pPr>
                  <w:proofErr w:type="gramStart"/>
                  <w:r w:rsidRPr="003069B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rtl/>
                      <w:lang w:eastAsia="fr-FR"/>
                    </w:rPr>
                    <w:t>شيماء</w:t>
                  </w:r>
                  <w:proofErr w:type="gramEnd"/>
                </w:p>
              </w:tc>
            </w:tr>
            <w:tr w:rsidR="00F005DE" w:rsidRPr="003069B0" w:rsidTr="003069B0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5DE" w:rsidRPr="003069B0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lang w:eastAsia="fr-FR"/>
                    </w:rPr>
                  </w:pPr>
                  <w:proofErr w:type="spellStart"/>
                  <w:r w:rsidRPr="003069B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rtl/>
                      <w:lang w:eastAsia="fr-FR"/>
                    </w:rPr>
                    <w:t>طيايبة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5DE" w:rsidRPr="003069B0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lang w:eastAsia="fr-FR"/>
                    </w:rPr>
                  </w:pPr>
                  <w:r w:rsidRPr="003069B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rtl/>
                      <w:lang w:eastAsia="fr-FR"/>
                    </w:rPr>
                    <w:t>أمل</w:t>
                  </w:r>
                </w:p>
              </w:tc>
            </w:tr>
            <w:tr w:rsidR="00F005DE" w:rsidRPr="003069B0" w:rsidTr="003069B0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5DE" w:rsidRPr="003069B0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lang w:eastAsia="fr-FR"/>
                    </w:rPr>
                  </w:pPr>
                  <w:proofErr w:type="spellStart"/>
                  <w:r w:rsidRPr="003069B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rtl/>
                      <w:lang w:eastAsia="fr-FR"/>
                    </w:rPr>
                    <w:t>عمرون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5DE" w:rsidRPr="003069B0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lang w:eastAsia="fr-FR"/>
                    </w:rPr>
                  </w:pPr>
                  <w:proofErr w:type="gramStart"/>
                  <w:r w:rsidRPr="003069B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rtl/>
                      <w:lang w:eastAsia="fr-FR"/>
                    </w:rPr>
                    <w:t>بدرة</w:t>
                  </w:r>
                  <w:proofErr w:type="gramEnd"/>
                </w:p>
              </w:tc>
            </w:tr>
          </w:tbl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  <w:tr w:rsidR="00401298" w:rsidRPr="000465F9" w:rsidTr="00F005DE">
        <w:trPr>
          <w:trHeight w:val="1343"/>
        </w:trPr>
        <w:tc>
          <w:tcPr>
            <w:tcW w:w="10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06</w:t>
            </w:r>
          </w:p>
        </w:tc>
        <w:tc>
          <w:tcPr>
            <w:tcW w:w="19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نماذج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قياس جودة الخدمة المصرفية</w:t>
            </w:r>
          </w:p>
        </w:tc>
        <w:tc>
          <w:tcPr>
            <w:tcW w:w="3213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يتطرق البحث إلى كيفية قياس وتقييم الجودة بالتطرق إلى نماذجها الشهيرة مثل نموذج الفجوات ونموذج الاداء</w:t>
            </w:r>
          </w:p>
        </w:tc>
        <w:tc>
          <w:tcPr>
            <w:tcW w:w="3326" w:type="dxa"/>
          </w:tcPr>
          <w:tbl>
            <w:tblPr>
              <w:tblpPr w:leftFromText="141" w:rightFromText="141" w:horzAnchor="margin" w:tblpY="210"/>
              <w:tblOverlap w:val="never"/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F005DE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fr-FR"/>
                    </w:rPr>
                  </w:pPr>
                  <w:proofErr w:type="gramStart"/>
                  <w:r w:rsidRPr="00F005DE">
                    <w:rPr>
                      <w:rFonts w:ascii="Arial" w:eastAsia="Times New Roman" w:hAnsi="Arial" w:cs="Arial"/>
                      <w:b/>
                      <w:bCs/>
                      <w:color w:val="FF0000"/>
                      <w:rtl/>
                      <w:lang w:eastAsia="fr-FR"/>
                    </w:rPr>
                    <w:t>غرابي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F005DE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fr-FR"/>
                    </w:rPr>
                  </w:pPr>
                  <w:r w:rsidRPr="00F005DE">
                    <w:rPr>
                      <w:rFonts w:ascii="Arial" w:eastAsia="Times New Roman" w:hAnsi="Arial" w:cs="Arial"/>
                      <w:b/>
                      <w:bCs/>
                      <w:color w:val="FF0000"/>
                      <w:rtl/>
                      <w:lang w:eastAsia="fr-FR"/>
                    </w:rPr>
                    <w:t>بهاء الدين</w:t>
                  </w:r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غرابي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بثينة</w:t>
                  </w:r>
                  <w:proofErr w:type="spellEnd"/>
                </w:p>
              </w:tc>
            </w:tr>
          </w:tbl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  <w:tr w:rsidR="00401298" w:rsidRPr="000465F9" w:rsidTr="00723AF1">
        <w:trPr>
          <w:trHeight w:val="1737"/>
        </w:trPr>
        <w:tc>
          <w:tcPr>
            <w:tcW w:w="10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07</w:t>
            </w:r>
          </w:p>
        </w:tc>
        <w:tc>
          <w:tcPr>
            <w:tcW w:w="19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إدارة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توقعات العملاء</w:t>
            </w:r>
          </w:p>
        </w:tc>
        <w:tc>
          <w:tcPr>
            <w:tcW w:w="3213" w:type="dxa"/>
            <w:vAlign w:val="center"/>
          </w:tcPr>
          <w:p w:rsidR="00401298" w:rsidRPr="005611AB" w:rsidRDefault="00401298" w:rsidP="003069B0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يتم التركيز في هذا البحث على العملاء عموما وعلى عملاء الخدمة المص</w:t>
            </w:r>
            <w:r w:rsidR="003069B0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ر</w:t>
            </w: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فية على وجه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الخصوص،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وكيف يتم الاهتمام بهم بشكل واقعي من خلال ما يعرف إدارة توقعات العملاء وذلك من حيث التعرف على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شخصياتهم،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إهتماماتهم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وتوقعاتهم،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إدارة الشكاوى ...</w:t>
            </w:r>
          </w:p>
        </w:tc>
        <w:tc>
          <w:tcPr>
            <w:tcW w:w="3326" w:type="dxa"/>
          </w:tcPr>
          <w:tbl>
            <w:tblPr>
              <w:tblpPr w:leftFromText="141" w:rightFromText="141" w:horzAnchor="margin" w:tblpY="420"/>
              <w:tblOverlap w:val="never"/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معاوي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عماد الدين</w:t>
                  </w:r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معروف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هبة</w:t>
                  </w:r>
                  <w:proofErr w:type="gramEnd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 xml:space="preserve"> سارة</w:t>
                  </w:r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منصور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صليحة</w:t>
                  </w:r>
                  <w:proofErr w:type="spellEnd"/>
                </w:p>
              </w:tc>
            </w:tr>
          </w:tbl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  <w:tr w:rsidR="00401298" w:rsidRPr="000465F9" w:rsidTr="00723AF1">
        <w:trPr>
          <w:trHeight w:val="1423"/>
        </w:trPr>
        <w:tc>
          <w:tcPr>
            <w:tcW w:w="10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08</w:t>
            </w:r>
          </w:p>
        </w:tc>
        <w:tc>
          <w:tcPr>
            <w:tcW w:w="19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النماذج العالمية في الجودة </w:t>
            </w:r>
          </w:p>
        </w:tc>
        <w:tc>
          <w:tcPr>
            <w:tcW w:w="3213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يتم في هذا البحث إبراز النموذج الياباني في إدارة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الجودة،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والنموذج الامريكي والنموذج الاوروبي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ويمكن للطالب إضافة نماذج أخرى.</w:t>
            </w:r>
          </w:p>
        </w:tc>
        <w:tc>
          <w:tcPr>
            <w:tcW w:w="3326" w:type="dxa"/>
          </w:tcPr>
          <w:tbl>
            <w:tblPr>
              <w:tblpPr w:leftFromText="141" w:rightFromText="141" w:horzAnchor="margin" w:tblpY="255"/>
              <w:tblOverlap w:val="never"/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هلالي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آمال</w:t>
                  </w:r>
                  <w:proofErr w:type="gramEnd"/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واضح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نبيل</w:t>
                  </w:r>
                  <w:proofErr w:type="gramEnd"/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شلابي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الخميسي</w:t>
                  </w:r>
                </w:p>
              </w:tc>
            </w:tr>
          </w:tbl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  <w:tr w:rsidR="00F005DE" w:rsidRPr="000465F9" w:rsidTr="00723AF1">
        <w:trPr>
          <w:trHeight w:val="1423"/>
        </w:trPr>
        <w:tc>
          <w:tcPr>
            <w:tcW w:w="1000" w:type="dxa"/>
            <w:vAlign w:val="center"/>
          </w:tcPr>
          <w:p w:rsidR="00F005DE" w:rsidRPr="005611AB" w:rsidRDefault="00F005DE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09</w:t>
            </w:r>
          </w:p>
        </w:tc>
        <w:tc>
          <w:tcPr>
            <w:tcW w:w="1900" w:type="dxa"/>
            <w:vAlign w:val="center"/>
          </w:tcPr>
          <w:p w:rsidR="00F005DE" w:rsidRPr="005611AB" w:rsidRDefault="00F005DE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الجودة من منظور إسلامي</w:t>
            </w:r>
          </w:p>
        </w:tc>
        <w:tc>
          <w:tcPr>
            <w:tcW w:w="3213" w:type="dxa"/>
            <w:vAlign w:val="center"/>
          </w:tcPr>
          <w:p w:rsidR="00F005DE" w:rsidRPr="005611AB" w:rsidRDefault="00F005DE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  <w:tc>
          <w:tcPr>
            <w:tcW w:w="3326" w:type="dxa"/>
          </w:tcPr>
          <w:tbl>
            <w:tblPr>
              <w:tblpPr w:leftFromText="141" w:rightFromText="141" w:horzAnchor="margin" w:tblpY="210"/>
              <w:tblOverlap w:val="never"/>
              <w:bidiVisual/>
              <w:tblW w:w="3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F005DE" w:rsidRPr="001C5B68" w:rsidTr="00F005DE">
              <w:trPr>
                <w:trHeight w:val="315"/>
              </w:trPr>
              <w:tc>
                <w:tcPr>
                  <w:tcW w:w="1440" w:type="dxa"/>
                  <w:shd w:val="clear" w:color="auto" w:fill="auto"/>
                  <w:noWrap/>
                  <w:vAlign w:val="bottom"/>
                  <w:hideMark/>
                </w:tcPr>
                <w:p w:rsidR="00F005DE" w:rsidRPr="001C5B68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قاصري</w:t>
                  </w:r>
                  <w:proofErr w:type="gramEnd"/>
                </w:p>
              </w:tc>
              <w:tc>
                <w:tcPr>
                  <w:tcW w:w="1660" w:type="dxa"/>
                  <w:shd w:val="clear" w:color="auto" w:fill="auto"/>
                  <w:noWrap/>
                  <w:vAlign w:val="bottom"/>
                  <w:hideMark/>
                </w:tcPr>
                <w:p w:rsidR="00F005DE" w:rsidRPr="001C5B68" w:rsidRDefault="00F005DE" w:rsidP="00F005DE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موسى</w:t>
                  </w:r>
                  <w:proofErr w:type="gramEnd"/>
                </w:p>
              </w:tc>
            </w:tr>
          </w:tbl>
          <w:p w:rsidR="00F005DE" w:rsidRPr="001C5B68" w:rsidRDefault="00F005DE" w:rsidP="001C5B68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/>
              </w:rPr>
            </w:pPr>
          </w:p>
        </w:tc>
      </w:tr>
    </w:tbl>
    <w:p w:rsidR="00F52BA5" w:rsidRDefault="00F52BA5" w:rsidP="00F52BA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 w:bidi="ar-DZ"/>
        </w:rPr>
      </w:pPr>
    </w:p>
    <w:sectPr w:rsidR="00F52BA5" w:rsidSect="00125AA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E1D"/>
    <w:multiLevelType w:val="multilevel"/>
    <w:tmpl w:val="CAA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009B3"/>
    <w:multiLevelType w:val="multilevel"/>
    <w:tmpl w:val="9CB2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E111A"/>
    <w:multiLevelType w:val="hybridMultilevel"/>
    <w:tmpl w:val="57548B8A"/>
    <w:lvl w:ilvl="0" w:tplc="B43C13F8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7C3B"/>
    <w:rsid w:val="00025509"/>
    <w:rsid w:val="000465F9"/>
    <w:rsid w:val="00050727"/>
    <w:rsid w:val="0007683C"/>
    <w:rsid w:val="000F5809"/>
    <w:rsid w:val="00125AA5"/>
    <w:rsid w:val="00143572"/>
    <w:rsid w:val="001A779C"/>
    <w:rsid w:val="001C5B68"/>
    <w:rsid w:val="003069B0"/>
    <w:rsid w:val="00326442"/>
    <w:rsid w:val="00401298"/>
    <w:rsid w:val="004C1CFB"/>
    <w:rsid w:val="005611AB"/>
    <w:rsid w:val="005746D1"/>
    <w:rsid w:val="005A1A2A"/>
    <w:rsid w:val="0063147C"/>
    <w:rsid w:val="00636660"/>
    <w:rsid w:val="006F5DB0"/>
    <w:rsid w:val="00723AF1"/>
    <w:rsid w:val="007568CD"/>
    <w:rsid w:val="007717F1"/>
    <w:rsid w:val="0088395D"/>
    <w:rsid w:val="0090756A"/>
    <w:rsid w:val="00AE7C3B"/>
    <w:rsid w:val="00D2601D"/>
    <w:rsid w:val="00E03D92"/>
    <w:rsid w:val="00F005DE"/>
    <w:rsid w:val="00F5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2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36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7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9</cp:revision>
  <dcterms:created xsi:type="dcterms:W3CDTF">2020-11-29T16:01:00Z</dcterms:created>
  <dcterms:modified xsi:type="dcterms:W3CDTF">2020-12-24T14:46:00Z</dcterms:modified>
</cp:coreProperties>
</file>