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D5" w:rsidRDefault="008168A6" w:rsidP="008168A6">
      <w:pPr>
        <w:jc w:val="right"/>
        <w:rPr>
          <w:rFonts w:hint="cs"/>
          <w:rtl/>
          <w:lang w:bidi="ar-DZ"/>
        </w:rPr>
      </w:pPr>
      <w:r>
        <w:rPr>
          <w:rFonts w:hint="cs"/>
          <w:rtl/>
          <w:lang w:bidi="ar-DZ"/>
        </w:rPr>
        <w:t>الدرس الثاني:</w:t>
      </w:r>
    </w:p>
    <w:p w:rsidR="007734DA" w:rsidRPr="007734DA" w:rsidRDefault="007734DA" w:rsidP="008168A6">
      <w:pPr>
        <w:jc w:val="right"/>
        <w:rPr>
          <w:rFonts w:hint="cs"/>
          <w:b/>
          <w:bCs/>
          <w:sz w:val="28"/>
          <w:szCs w:val="28"/>
          <w:rtl/>
          <w:lang w:bidi="ar-DZ"/>
        </w:rPr>
      </w:pPr>
      <w:r w:rsidRPr="007734DA">
        <w:rPr>
          <w:rFonts w:hint="cs"/>
          <w:b/>
          <w:bCs/>
          <w:sz w:val="28"/>
          <w:szCs w:val="28"/>
          <w:rtl/>
          <w:lang w:bidi="ar-DZ"/>
        </w:rPr>
        <w:t>المحاضرة الثانية:</w:t>
      </w:r>
    </w:p>
    <w:p w:rsidR="00633166" w:rsidRPr="00087409" w:rsidRDefault="00633166" w:rsidP="00633166">
      <w:pPr>
        <w:spacing w:before="240"/>
        <w:jc w:val="center"/>
        <w:rPr>
          <w:rFonts w:ascii="Simplified Arabic" w:hAnsi="Simplified Arabic" w:cs="Simplified Arabic"/>
          <w:bCs/>
          <w:sz w:val="28"/>
          <w:szCs w:val="28"/>
          <w:rtl/>
          <w:lang w:bidi="ar-DZ"/>
        </w:rPr>
      </w:pPr>
    </w:p>
    <w:p w:rsidR="00633166" w:rsidRPr="00BA07DB" w:rsidRDefault="00633166" w:rsidP="00633166">
      <w:pPr>
        <w:tabs>
          <w:tab w:val="right" w:pos="283"/>
          <w:tab w:val="right" w:pos="425"/>
          <w:tab w:val="right" w:pos="567"/>
        </w:tabs>
        <w:bidi/>
        <w:spacing w:before="240"/>
        <w:jc w:val="center"/>
        <w:rPr>
          <w:rFonts w:ascii="Simplified Arabic" w:hAnsi="Simplified Arabic" w:cs="Simplified Arabic"/>
          <w:bCs/>
          <w:sz w:val="32"/>
          <w:szCs w:val="32"/>
          <w:u w:val="single"/>
          <w:rtl/>
          <w:lang w:bidi="ar-DZ"/>
        </w:rPr>
      </w:pPr>
      <w:r w:rsidRPr="00BA07DB">
        <w:rPr>
          <w:rFonts w:ascii="Simplified Arabic" w:hAnsi="Simplified Arabic" w:cs="Simplified Arabic"/>
          <w:bCs/>
          <w:sz w:val="32"/>
          <w:szCs w:val="32"/>
          <w:u w:val="single"/>
          <w:rtl/>
          <w:lang w:bidi="ar-DZ"/>
        </w:rPr>
        <w:t xml:space="preserve">المنهج </w:t>
      </w:r>
      <w:r>
        <w:rPr>
          <w:rFonts w:ascii="Simplified Arabic" w:hAnsi="Simplified Arabic" w:cs="Simplified Arabic" w:hint="cs"/>
          <w:bCs/>
          <w:sz w:val="32"/>
          <w:szCs w:val="32"/>
          <w:u w:val="single"/>
          <w:rtl/>
          <w:lang w:bidi="ar-DZ"/>
        </w:rPr>
        <w:t>ا</w:t>
      </w:r>
      <w:r w:rsidRPr="00BA07DB">
        <w:rPr>
          <w:rFonts w:ascii="Simplified Arabic" w:hAnsi="Simplified Arabic" w:cs="Simplified Arabic"/>
          <w:bCs/>
          <w:sz w:val="32"/>
          <w:szCs w:val="32"/>
          <w:u w:val="single"/>
          <w:rtl/>
          <w:lang w:bidi="ar-DZ"/>
        </w:rPr>
        <w:t xml:space="preserve">التاريخي </w:t>
      </w:r>
      <w:r>
        <w:rPr>
          <w:rFonts w:ascii="Simplified Arabic" w:hAnsi="Simplified Arabic" w:cs="Simplified Arabic" w:hint="cs"/>
          <w:bCs/>
          <w:sz w:val="32"/>
          <w:szCs w:val="32"/>
          <w:u w:val="single"/>
          <w:rtl/>
          <w:lang w:bidi="ar-DZ"/>
        </w:rPr>
        <w:t>ا</w:t>
      </w:r>
      <w:r w:rsidRPr="00BA07DB">
        <w:rPr>
          <w:rFonts w:ascii="Simplified Arabic" w:hAnsi="Simplified Arabic" w:cs="Simplified Arabic"/>
          <w:bCs/>
          <w:sz w:val="32"/>
          <w:szCs w:val="32"/>
          <w:u w:val="single"/>
          <w:rtl/>
          <w:lang w:bidi="ar-DZ"/>
        </w:rPr>
        <w:t>الجغرافي</w:t>
      </w:r>
    </w:p>
    <w:p w:rsidR="00633166" w:rsidRPr="00BA07DB" w:rsidRDefault="00633166" w:rsidP="00633166">
      <w:pPr>
        <w:tabs>
          <w:tab w:val="right" w:pos="283"/>
          <w:tab w:val="right" w:pos="425"/>
          <w:tab w:val="right" w:pos="567"/>
        </w:tabs>
        <w:bidi/>
        <w:spacing w:before="240"/>
        <w:jc w:val="both"/>
        <w:rPr>
          <w:rFonts w:ascii="Simplified Arabic" w:hAnsi="Simplified Arabic" w:cs="Simplified Arabic"/>
          <w:bCs/>
          <w:sz w:val="28"/>
          <w:szCs w:val="28"/>
          <w:rtl/>
          <w:lang w:bidi="ar-DZ"/>
        </w:rPr>
      </w:pPr>
      <w:r w:rsidRPr="00BA07DB">
        <w:rPr>
          <w:rFonts w:ascii="Simplified Arabic" w:hAnsi="Simplified Arabic" w:cs="Simplified Arabic"/>
          <w:bCs/>
          <w:sz w:val="28"/>
          <w:szCs w:val="28"/>
          <w:rtl/>
          <w:lang w:bidi="ar-DZ"/>
        </w:rPr>
        <w:t>مناهج دراسة الأدب الشعبي :</w:t>
      </w:r>
    </w:p>
    <w:p w:rsidR="00633166" w:rsidRPr="00BA07DB" w:rsidRDefault="00633166" w:rsidP="00633166">
      <w:pPr>
        <w:tabs>
          <w:tab w:val="right" w:pos="283"/>
          <w:tab w:val="right" w:pos="425"/>
          <w:tab w:val="right" w:pos="567"/>
        </w:tabs>
        <w:bidi/>
        <w:spacing w:before="240"/>
        <w:jc w:val="both"/>
        <w:rPr>
          <w:rFonts w:ascii="Simplified Arabic" w:hAnsi="Simplified Arabic" w:cs="Simplified Arabic"/>
          <w:bCs/>
          <w:sz w:val="28"/>
          <w:szCs w:val="28"/>
          <w:rtl/>
          <w:lang w:bidi="ar-DZ"/>
        </w:rPr>
      </w:pPr>
      <w:r w:rsidRPr="00BA07DB">
        <w:rPr>
          <w:rFonts w:ascii="Simplified Arabic" w:hAnsi="Simplified Arabic" w:cs="Simplified Arabic"/>
          <w:bCs/>
          <w:sz w:val="28"/>
          <w:szCs w:val="28"/>
          <w:rtl/>
          <w:lang w:bidi="ar-DZ"/>
        </w:rPr>
        <w:t>النظرية التاريخية الجغرافية</w:t>
      </w:r>
      <w:r>
        <w:rPr>
          <w:rFonts w:ascii="Simplified Arabic" w:hAnsi="Simplified Arabic" w:cs="Simplified Arabic" w:hint="cs"/>
          <w:bCs/>
          <w:sz w:val="28"/>
          <w:szCs w:val="28"/>
          <w:rtl/>
          <w:lang w:bidi="ar-DZ"/>
        </w:rPr>
        <w:t>:</w:t>
      </w:r>
    </w:p>
    <w:p w:rsidR="00633166" w:rsidRPr="00BA07DB" w:rsidRDefault="00633166" w:rsidP="00633166">
      <w:pPr>
        <w:tabs>
          <w:tab w:val="right" w:pos="283"/>
          <w:tab w:val="right" w:pos="425"/>
          <w:tab w:val="right" w:pos="567"/>
        </w:tabs>
        <w:bidi/>
        <w:spacing w:before="240"/>
        <w:jc w:val="both"/>
        <w:rPr>
          <w:rFonts w:ascii="Simplified Arabic" w:hAnsi="Simplified Arabic" w:cs="Simplified Arabic"/>
          <w:b/>
          <w:bCs/>
          <w:sz w:val="28"/>
          <w:szCs w:val="28"/>
          <w:rtl/>
          <w:lang w:bidi="ar-DZ"/>
        </w:rPr>
      </w:pPr>
      <w:r w:rsidRPr="00BA07DB">
        <w:rPr>
          <w:rFonts w:ascii="Simplified Arabic" w:hAnsi="Simplified Arabic" w:cs="Simplified Arabic"/>
          <w:b/>
          <w:bCs/>
          <w:sz w:val="28"/>
          <w:szCs w:val="28"/>
          <w:rtl/>
          <w:lang w:bidi="ar-DZ"/>
        </w:rPr>
        <w:t>المدرسة الفنلندية</w:t>
      </w:r>
      <w:r>
        <w:rPr>
          <w:rFonts w:ascii="Simplified Arabic" w:hAnsi="Simplified Arabic" w:cs="Simplified Arabic" w:hint="cs"/>
          <w:b/>
          <w:bCs/>
          <w:sz w:val="28"/>
          <w:szCs w:val="28"/>
          <w:rtl/>
          <w:lang w:bidi="ar-DZ"/>
        </w:rPr>
        <w:t>:</w:t>
      </w:r>
    </w:p>
    <w:p w:rsidR="00633166" w:rsidRPr="00145EA0" w:rsidRDefault="00633166" w:rsidP="00633166">
      <w:pPr>
        <w:tabs>
          <w:tab w:val="right" w:pos="283"/>
          <w:tab w:val="right" w:pos="425"/>
          <w:tab w:val="right" w:pos="567"/>
        </w:tabs>
        <w:bidi/>
        <w:spacing w:before="240"/>
        <w:rPr>
          <w:rFonts w:ascii="Simplified Arabic" w:hAnsi="Simplified Arabic" w:cs="Simplified Arabic"/>
          <w:sz w:val="28"/>
          <w:szCs w:val="28"/>
          <w:rtl/>
          <w:lang w:bidi="ar-DZ"/>
        </w:rPr>
      </w:pPr>
      <w:r w:rsidRPr="00145EA0">
        <w:rPr>
          <w:rFonts w:ascii="Simplified Arabic" w:hAnsi="Simplified Arabic" w:cs="Simplified Arabic"/>
          <w:sz w:val="28"/>
          <w:szCs w:val="28"/>
          <w:rtl/>
          <w:lang w:bidi="ar-DZ"/>
        </w:rPr>
        <w:t xml:space="preserve">لقد </w:t>
      </w:r>
      <w:r w:rsidRPr="00145EA0">
        <w:rPr>
          <w:rFonts w:ascii="Simplified Arabic" w:hAnsi="Simplified Arabic" w:cs="Simplified Arabic" w:hint="cs"/>
          <w:sz w:val="28"/>
          <w:szCs w:val="28"/>
          <w:rtl/>
          <w:lang w:bidi="ar-DZ"/>
        </w:rPr>
        <w:t>ارتبط</w:t>
      </w:r>
      <w:r w:rsidRPr="00145EA0">
        <w:rPr>
          <w:rFonts w:ascii="Simplified Arabic" w:hAnsi="Simplified Arabic" w:cs="Simplified Arabic"/>
          <w:sz w:val="28"/>
          <w:szCs w:val="28"/>
          <w:rtl/>
          <w:lang w:bidi="ar-DZ"/>
        </w:rPr>
        <w:t xml:space="preserve"> هذا المنهج منذ بداياته بالدراسات الأدبية و اللغوية و لذلك فهو يعد أقدم و أول منهج علمي في مجال التعبير الشعبي يقوم على الكشف عن أصول النصوص الشعبية، و تحديد علاقتها بالظروف التاريخية التي مرت بها و الأماكن التي هجرت إليها اعتمادا على ما يسمى </w:t>
      </w:r>
      <w:r w:rsidRPr="00145EA0">
        <w:rPr>
          <w:rFonts w:ascii="Simplified Arabic" w:hAnsi="Simplified Arabic" w:cs="Simplified Arabic"/>
          <w:b/>
          <w:sz w:val="28"/>
          <w:szCs w:val="28"/>
          <w:rtl/>
          <w:lang w:bidi="ar-DZ"/>
        </w:rPr>
        <w:t xml:space="preserve">محتوى النصوص </w:t>
      </w:r>
      <w:r w:rsidRPr="00145EA0">
        <w:rPr>
          <w:rFonts w:ascii="Simplified Arabic" w:hAnsi="Simplified Arabic" w:cs="Simplified Arabic"/>
          <w:sz w:val="28"/>
          <w:szCs w:val="28"/>
          <w:rtl/>
          <w:lang w:bidi="ar-DZ"/>
        </w:rPr>
        <w:t xml:space="preserve">أو </w:t>
      </w:r>
      <w:r w:rsidRPr="00145EA0">
        <w:rPr>
          <w:rFonts w:ascii="Simplified Arabic" w:hAnsi="Simplified Arabic" w:cs="Simplified Arabic"/>
          <w:b/>
          <w:sz w:val="28"/>
          <w:szCs w:val="28"/>
          <w:rtl/>
          <w:lang w:bidi="ar-DZ"/>
        </w:rPr>
        <w:t xml:space="preserve"> المضمون </w:t>
      </w:r>
      <w:r w:rsidRPr="00145EA0">
        <w:rPr>
          <w:rFonts w:ascii="Simplified Arabic" w:hAnsi="Simplified Arabic" w:cs="Simplified Arabic"/>
          <w:sz w:val="28"/>
          <w:szCs w:val="28"/>
          <w:rtl/>
          <w:lang w:bidi="ar-DZ"/>
        </w:rPr>
        <w:t xml:space="preserve"> من خلال أصغر وحدة موجودة في النص و هي "</w:t>
      </w:r>
      <w:r>
        <w:rPr>
          <w:rFonts w:ascii="Simplified Arabic" w:hAnsi="Simplified Arabic" w:cs="Simplified Arabic"/>
          <w:b/>
          <w:sz w:val="28"/>
          <w:szCs w:val="28"/>
          <w:rtl/>
          <w:lang w:bidi="ar-DZ"/>
        </w:rPr>
        <w:t>المو</w:t>
      </w:r>
      <w:r>
        <w:rPr>
          <w:rFonts w:ascii="Simplified Arabic" w:hAnsi="Simplified Arabic" w:cs="Simplified Arabic" w:hint="cs"/>
          <w:b/>
          <w:sz w:val="28"/>
          <w:szCs w:val="28"/>
          <w:rtl/>
          <w:lang w:bidi="ar-DZ"/>
        </w:rPr>
        <w:t>ت</w:t>
      </w:r>
      <w:r w:rsidRPr="00145EA0">
        <w:rPr>
          <w:rFonts w:ascii="Simplified Arabic" w:hAnsi="Simplified Arabic" w:cs="Simplified Arabic"/>
          <w:b/>
          <w:sz w:val="28"/>
          <w:szCs w:val="28"/>
          <w:rtl/>
          <w:lang w:bidi="ar-DZ"/>
        </w:rPr>
        <w:t>يقات</w:t>
      </w:r>
      <w:r w:rsidRPr="00145EA0">
        <w:rPr>
          <w:rFonts w:ascii="Simplified Arabic" w:hAnsi="Simplified Arabic" w:cs="Simplified Arabic"/>
          <w:sz w:val="28"/>
          <w:szCs w:val="28"/>
          <w:rtl/>
          <w:lang w:bidi="ar-DZ"/>
        </w:rPr>
        <w:t>" .</w:t>
      </w:r>
    </w:p>
    <w:p w:rsidR="00633166" w:rsidRPr="00145EA0" w:rsidRDefault="00633166" w:rsidP="00633166">
      <w:pPr>
        <w:tabs>
          <w:tab w:val="right" w:pos="283"/>
          <w:tab w:val="right" w:pos="425"/>
          <w:tab w:val="right" w:pos="567"/>
        </w:tabs>
        <w:bidi/>
        <w:spacing w:before="240"/>
        <w:rPr>
          <w:rFonts w:ascii="Simplified Arabic" w:hAnsi="Simplified Arabic" w:cs="Simplified Arabic"/>
          <w:sz w:val="28"/>
          <w:szCs w:val="28"/>
          <w:rtl/>
          <w:lang w:bidi="ar-DZ"/>
        </w:rPr>
      </w:pPr>
      <w:r w:rsidRPr="00145EA0">
        <w:rPr>
          <w:rFonts w:ascii="Simplified Arabic" w:hAnsi="Simplified Arabic" w:cs="Simplified Arabic"/>
          <w:sz w:val="28"/>
          <w:szCs w:val="28"/>
          <w:rtl/>
          <w:lang w:bidi="ar-DZ"/>
        </w:rPr>
        <w:t xml:space="preserve">إذ أن رواد هذا المنهج يقومون بتتبع هجرة النصوص فيجمعون الروايات المختلفة للأصل الواحد معتمدين في ذلك على </w:t>
      </w:r>
      <w:r w:rsidRPr="00145EA0">
        <w:rPr>
          <w:rFonts w:ascii="Simplified Arabic" w:hAnsi="Simplified Arabic" w:cs="Simplified Arabic"/>
          <w:b/>
          <w:sz w:val="28"/>
          <w:szCs w:val="28"/>
          <w:rtl/>
          <w:lang w:bidi="ar-DZ"/>
        </w:rPr>
        <w:t xml:space="preserve"> المنهج المقارن </w:t>
      </w:r>
      <w:r w:rsidRPr="00145EA0">
        <w:rPr>
          <w:rFonts w:ascii="Simplified Arabic" w:hAnsi="Simplified Arabic" w:cs="Simplified Arabic"/>
          <w:sz w:val="28"/>
          <w:szCs w:val="28"/>
          <w:rtl/>
          <w:lang w:bidi="ar-DZ"/>
        </w:rPr>
        <w:t xml:space="preserve"> لمقارنة النصوص فكلما كانت </w:t>
      </w:r>
      <w:r>
        <w:rPr>
          <w:rFonts w:ascii="Simplified Arabic" w:hAnsi="Simplified Arabic" w:cs="Simplified Arabic" w:hint="cs"/>
          <w:sz w:val="28"/>
          <w:szCs w:val="28"/>
          <w:rtl/>
          <w:lang w:bidi="ar-DZ"/>
        </w:rPr>
        <w:t>"</w:t>
      </w:r>
      <w:r w:rsidRPr="00145EA0">
        <w:rPr>
          <w:rFonts w:ascii="Simplified Arabic" w:hAnsi="Simplified Arabic" w:cs="Simplified Arabic"/>
          <w:sz w:val="28"/>
          <w:szCs w:val="28"/>
          <w:rtl/>
          <w:lang w:bidi="ar-DZ"/>
        </w:rPr>
        <w:t>الموتيفات</w:t>
      </w:r>
      <w:r>
        <w:rPr>
          <w:rFonts w:ascii="Simplified Arabic" w:hAnsi="Simplified Arabic" w:cs="Simplified Arabic" w:hint="cs"/>
          <w:sz w:val="28"/>
          <w:szCs w:val="28"/>
          <w:rtl/>
          <w:lang w:bidi="ar-DZ"/>
        </w:rPr>
        <w:t>"</w:t>
      </w:r>
      <w:r w:rsidRPr="00145EA0">
        <w:rPr>
          <w:rFonts w:ascii="Simplified Arabic" w:hAnsi="Simplified Arabic" w:cs="Simplified Arabic"/>
          <w:sz w:val="28"/>
          <w:szCs w:val="28"/>
          <w:rtl/>
          <w:lang w:bidi="ar-DZ"/>
        </w:rPr>
        <w:t xml:space="preserve"> أكثر و أكبر في النص كلما كان الأقرب إلى الأصل "و يساعد هذا المنهج على معرفة مظاهر الاتفاق و الاختلاف بين النصوص الشعبية في المراحل الزمنية المتعاقبة من أجل الوصول إلى فهم التطور الذي قطعته عناصر الفلكلور ، و التعرف على العوامل المحلية، و الأجنبية التي أدت دورا هاما في تشكيل المادة الشعبية "</w:t>
      </w:r>
      <w:r w:rsidRPr="00145EA0">
        <w:rPr>
          <w:rStyle w:val="Footnotereference"/>
          <w:rFonts w:ascii="Simplified Arabic" w:hAnsi="Simplified Arabic" w:cs="Simplified Arabic"/>
          <w:sz w:val="28"/>
          <w:szCs w:val="28"/>
          <w:rtl/>
          <w:lang w:bidi="ar-DZ"/>
        </w:rPr>
        <w:footnoteReference w:id="2"/>
      </w:r>
    </w:p>
    <w:p w:rsidR="00633166" w:rsidRPr="00145EA0" w:rsidRDefault="00633166" w:rsidP="00633166">
      <w:pPr>
        <w:jc w:val="right"/>
        <w:rPr>
          <w:rFonts w:ascii="Simplified Arabic" w:hAnsi="Simplified Arabic" w:cs="Simplified Arabic"/>
          <w:sz w:val="28"/>
          <w:szCs w:val="28"/>
          <w:rtl/>
          <w:lang w:bidi="ar-DZ"/>
        </w:rPr>
      </w:pPr>
      <w:r w:rsidRPr="00145EA0">
        <w:rPr>
          <w:rFonts w:ascii="Simplified Arabic" w:hAnsi="Simplified Arabic" w:cs="Simplified Arabic"/>
          <w:sz w:val="28"/>
          <w:szCs w:val="28"/>
          <w:rtl/>
          <w:lang w:bidi="ar-DZ"/>
        </w:rPr>
        <w:t>و إذا كان المنهج التاريخي يسعى إلى تحديد البعد الزماني للظاهرة  الشعبية  فإن المنهج الجغرافي يهتم  أساسا ببعدها المكاني فيتوقف تنظيم البيئة على الموقع الجغرافي الذي يثير بدوره عند الجماعة كثيرا من الاحتياجات البشرية و يعمل على إشباعها و يظهر هذا المنهج طبعا لهذه الاحتياجات كما يظهر في ارتباط عناصر الفلكلور بالظروف الجيولوجية و المناخية و الاقتصادية ، و علاقة عناصر الفلكلور بالبيئة الطبيعية "</w:t>
      </w:r>
      <w:r w:rsidRPr="00145EA0">
        <w:rPr>
          <w:rStyle w:val="Footnotereference"/>
          <w:rFonts w:ascii="Simplified Arabic" w:hAnsi="Simplified Arabic" w:cs="Simplified Arabic"/>
          <w:sz w:val="28"/>
          <w:szCs w:val="28"/>
          <w:rtl/>
          <w:lang w:bidi="ar-DZ"/>
        </w:rPr>
        <w:footnoteReference w:id="3"/>
      </w:r>
    </w:p>
    <w:p w:rsidR="00633166" w:rsidRPr="00145EA0" w:rsidRDefault="00633166" w:rsidP="00633166">
      <w:pPr>
        <w:tabs>
          <w:tab w:val="right" w:pos="283"/>
          <w:tab w:val="right" w:pos="425"/>
          <w:tab w:val="right" w:pos="567"/>
        </w:tabs>
        <w:bidi/>
        <w:spacing w:before="240"/>
        <w:jc w:val="both"/>
        <w:rPr>
          <w:rFonts w:ascii="Simplified Arabic" w:hAnsi="Simplified Arabic" w:cs="Simplified Arabic"/>
          <w:sz w:val="28"/>
          <w:szCs w:val="28"/>
          <w:rtl/>
          <w:lang w:bidi="ar-DZ"/>
        </w:rPr>
      </w:pPr>
      <w:r w:rsidRPr="00145EA0">
        <w:rPr>
          <w:rFonts w:ascii="Simplified Arabic" w:hAnsi="Simplified Arabic" w:cs="Simplified Arabic"/>
          <w:sz w:val="28"/>
          <w:szCs w:val="28"/>
          <w:rtl/>
          <w:lang w:bidi="ar-DZ"/>
        </w:rPr>
        <w:lastRenderedPageBreak/>
        <w:t>كما يعتبر المنهج التاريخي الجغرافي أول منهج شغل أذهان الدارسين فترة طويلة في فنلندا لذلك يطلق عليه المنهج الفنلندي أو "المدرسة الفنلندية" على أساس أن رواد هذه الدراسة هم من فنلندا فمؤسسه الأول هو"</w:t>
      </w:r>
      <w:r w:rsidRPr="00145EA0">
        <w:rPr>
          <w:rFonts w:ascii="Simplified Arabic" w:hAnsi="Simplified Arabic" w:cs="Simplified Arabic"/>
          <w:b/>
          <w:sz w:val="28"/>
          <w:szCs w:val="28"/>
          <w:rtl/>
          <w:lang w:bidi="ar-DZ"/>
        </w:rPr>
        <w:t xml:space="preserve"> يوليوس كراون</w:t>
      </w:r>
      <w:r w:rsidRPr="00145EA0">
        <w:rPr>
          <w:rFonts w:ascii="Simplified Arabic" w:hAnsi="Simplified Arabic" w:cs="Simplified Arabic"/>
          <w:sz w:val="28"/>
          <w:szCs w:val="28"/>
          <w:rtl/>
          <w:lang w:bidi="ar-DZ"/>
        </w:rPr>
        <w:t>"</w:t>
      </w:r>
    </w:p>
    <w:p w:rsidR="00633166" w:rsidRPr="00145EA0" w:rsidRDefault="00633166" w:rsidP="00633166">
      <w:pPr>
        <w:tabs>
          <w:tab w:val="right" w:pos="283"/>
          <w:tab w:val="right" w:pos="425"/>
          <w:tab w:val="right" w:pos="567"/>
        </w:tabs>
        <w:bidi/>
        <w:spacing w:before="240"/>
        <w:jc w:val="both"/>
        <w:rPr>
          <w:rFonts w:ascii="Simplified Arabic" w:hAnsi="Simplified Arabic" w:cs="Simplified Arabic"/>
          <w:sz w:val="28"/>
          <w:szCs w:val="28"/>
          <w:rtl/>
          <w:lang w:bidi="ar-DZ"/>
        </w:rPr>
      </w:pPr>
      <w:r w:rsidRPr="00145EA0">
        <w:rPr>
          <w:rFonts w:ascii="Simplified Arabic" w:hAnsi="Simplified Arabic" w:cs="Simplified Arabic"/>
          <w:sz w:val="28"/>
          <w:szCs w:val="28"/>
          <w:rtl/>
          <w:lang w:bidi="ar-DZ"/>
        </w:rPr>
        <w:t xml:space="preserve">على أن يوليوس  كرون لم يحقق هذا المنهج علميا كما كان يطمح بل ترك </w:t>
      </w:r>
      <w:r w:rsidRPr="00145EA0">
        <w:rPr>
          <w:rFonts w:ascii="Simplified Arabic" w:hAnsi="Simplified Arabic" w:cs="Simplified Arabic" w:hint="cs"/>
          <w:sz w:val="28"/>
          <w:szCs w:val="28"/>
          <w:rtl/>
          <w:lang w:bidi="ar-DZ"/>
        </w:rPr>
        <w:t>ابنه</w:t>
      </w:r>
      <w:r w:rsidRPr="00145EA0">
        <w:rPr>
          <w:rFonts w:ascii="Simplified Arabic" w:hAnsi="Simplified Arabic" w:cs="Simplified Arabic"/>
          <w:sz w:val="28"/>
          <w:szCs w:val="28"/>
          <w:rtl/>
          <w:lang w:bidi="ar-DZ"/>
        </w:rPr>
        <w:t xml:space="preserve"> الباحث الفكلوري العالمي "</w:t>
      </w:r>
      <w:r w:rsidRPr="00145EA0">
        <w:rPr>
          <w:rFonts w:ascii="Simplified Arabic" w:hAnsi="Simplified Arabic" w:cs="Simplified Arabic"/>
          <w:b/>
          <w:sz w:val="28"/>
          <w:szCs w:val="28"/>
          <w:rtl/>
          <w:lang w:bidi="ar-DZ"/>
        </w:rPr>
        <w:t>كارل كرون</w:t>
      </w:r>
      <w:r w:rsidRPr="00145EA0">
        <w:rPr>
          <w:rFonts w:ascii="Simplified Arabic" w:hAnsi="Simplified Arabic" w:cs="Simplified Arabic"/>
          <w:sz w:val="28"/>
          <w:szCs w:val="28"/>
          <w:rtl/>
          <w:lang w:bidi="ar-DZ"/>
        </w:rPr>
        <w:t xml:space="preserve">" </w:t>
      </w:r>
      <w:r w:rsidRPr="00145EA0">
        <w:rPr>
          <w:rFonts w:ascii="Simplified Arabic" w:hAnsi="Simplified Arabic" w:cs="Simplified Arabic"/>
          <w:b/>
          <w:sz w:val="28"/>
          <w:szCs w:val="28"/>
          <w:rtl/>
          <w:lang w:bidi="ar-DZ"/>
        </w:rPr>
        <w:t xml:space="preserve"> </w:t>
      </w:r>
      <w:r w:rsidRPr="00145EA0">
        <w:rPr>
          <w:rFonts w:ascii="Simplified Arabic" w:hAnsi="Simplified Arabic" w:cs="Simplified Arabic"/>
          <w:sz w:val="28"/>
          <w:szCs w:val="28"/>
          <w:rtl/>
          <w:lang w:bidi="ar-DZ"/>
        </w:rPr>
        <w:t>لكي يكمل رسالته من بعده، وكان ينبغي تحقيقا لهذا المنهج ، أن يرسل "</w:t>
      </w:r>
      <w:r w:rsidRPr="00145EA0">
        <w:rPr>
          <w:rFonts w:ascii="Simplified Arabic" w:hAnsi="Simplified Arabic" w:cs="Simplified Arabic"/>
          <w:b/>
          <w:sz w:val="28"/>
          <w:szCs w:val="28"/>
          <w:rtl/>
          <w:lang w:bidi="ar-DZ"/>
        </w:rPr>
        <w:t>كرون</w:t>
      </w:r>
      <w:r w:rsidRPr="00145EA0">
        <w:rPr>
          <w:rFonts w:ascii="Simplified Arabic" w:hAnsi="Simplified Arabic" w:cs="Simplified Arabic"/>
          <w:sz w:val="28"/>
          <w:szCs w:val="28"/>
          <w:rtl/>
          <w:lang w:bidi="ar-DZ"/>
        </w:rPr>
        <w:t>"</w:t>
      </w:r>
      <w:r w:rsidRPr="00145EA0">
        <w:rPr>
          <w:rFonts w:ascii="Simplified Arabic" w:hAnsi="Simplified Arabic" w:cs="Simplified Arabic"/>
          <w:b/>
          <w:sz w:val="28"/>
          <w:szCs w:val="28"/>
          <w:rtl/>
          <w:lang w:bidi="ar-DZ"/>
        </w:rPr>
        <w:t xml:space="preserve"> </w:t>
      </w:r>
      <w:r w:rsidRPr="00145EA0">
        <w:rPr>
          <w:rFonts w:ascii="Simplified Arabic" w:hAnsi="Simplified Arabic" w:cs="Simplified Arabic"/>
          <w:sz w:val="28"/>
          <w:szCs w:val="28"/>
          <w:rtl/>
          <w:lang w:bidi="ar-DZ"/>
        </w:rPr>
        <w:t xml:space="preserve">الجامعيين للعمل الميداني لا ليجمعوا مزيدا من المادة الشعبية فحسب بل ليجمعوا قدر الإمكان أكبر قدر من الروايات المختلفة للمادة الواحدة ، و بهذا تغير منهج البحث الميداني على يد </w:t>
      </w:r>
      <w:r>
        <w:rPr>
          <w:rFonts w:ascii="Simplified Arabic" w:hAnsi="Simplified Arabic" w:cs="Simplified Arabic" w:hint="cs"/>
          <w:sz w:val="28"/>
          <w:szCs w:val="28"/>
          <w:rtl/>
          <w:lang w:bidi="ar-DZ"/>
        </w:rPr>
        <w:t>"</w:t>
      </w:r>
      <w:r w:rsidRPr="00145EA0">
        <w:rPr>
          <w:rFonts w:ascii="Simplified Arabic" w:hAnsi="Simplified Arabic" w:cs="Simplified Arabic"/>
          <w:b/>
          <w:sz w:val="28"/>
          <w:szCs w:val="28"/>
          <w:rtl/>
          <w:lang w:bidi="ar-DZ"/>
        </w:rPr>
        <w:t>كارل</w:t>
      </w:r>
      <w:r w:rsidRPr="00145EA0">
        <w:rPr>
          <w:rFonts w:ascii="Simplified Arabic" w:hAnsi="Simplified Arabic" w:cs="Simplified Arabic"/>
          <w:sz w:val="28"/>
          <w:szCs w:val="28"/>
          <w:rtl/>
          <w:lang w:bidi="ar-DZ"/>
        </w:rPr>
        <w:t xml:space="preserve"> </w:t>
      </w:r>
      <w:r w:rsidRPr="00145EA0">
        <w:rPr>
          <w:rFonts w:ascii="Simplified Arabic" w:hAnsi="Simplified Arabic" w:cs="Simplified Arabic"/>
          <w:b/>
          <w:sz w:val="28"/>
          <w:szCs w:val="28"/>
          <w:rtl/>
          <w:lang w:bidi="ar-DZ"/>
        </w:rPr>
        <w:t xml:space="preserve">كرون </w:t>
      </w:r>
      <w:r>
        <w:rPr>
          <w:rFonts w:ascii="Simplified Arabic" w:hAnsi="Simplified Arabic" w:cs="Simplified Arabic" w:hint="cs"/>
          <w:b/>
          <w:sz w:val="28"/>
          <w:szCs w:val="28"/>
          <w:rtl/>
          <w:lang w:bidi="ar-DZ"/>
        </w:rPr>
        <w:t>"</w:t>
      </w:r>
      <w:r w:rsidRPr="00145EA0">
        <w:rPr>
          <w:rFonts w:ascii="Simplified Arabic" w:hAnsi="Simplified Arabic" w:cs="Simplified Arabic"/>
          <w:sz w:val="28"/>
          <w:szCs w:val="28"/>
          <w:rtl/>
          <w:lang w:bidi="ar-DZ"/>
        </w:rPr>
        <w:t xml:space="preserve"> و لا يزال هذا النمط معتمدا و متبعا حتى اليوم، لأنه أصبح يخدم مناهج متعددة للبحث نشأت بعد ذلك ومن أهمها المنهج النفسي و المنهج الوظيفي..."</w:t>
      </w:r>
      <w:r w:rsidRPr="00145EA0">
        <w:rPr>
          <w:rStyle w:val="Footnotereference"/>
          <w:rFonts w:ascii="Simplified Arabic" w:hAnsi="Simplified Arabic" w:cs="Simplified Arabic"/>
          <w:sz w:val="28"/>
          <w:szCs w:val="28"/>
          <w:rtl/>
          <w:lang w:bidi="ar-DZ"/>
        </w:rPr>
        <w:t xml:space="preserve"> </w:t>
      </w:r>
      <w:r w:rsidRPr="00145EA0">
        <w:rPr>
          <w:rStyle w:val="Footnotereference"/>
          <w:rFonts w:ascii="Simplified Arabic" w:hAnsi="Simplified Arabic" w:cs="Simplified Arabic"/>
          <w:sz w:val="28"/>
          <w:szCs w:val="28"/>
          <w:rtl/>
          <w:lang w:bidi="ar-DZ"/>
        </w:rPr>
        <w:footnoteReference w:id="4"/>
      </w:r>
    </w:p>
    <w:p w:rsidR="00633166" w:rsidRPr="00145EA0" w:rsidRDefault="00633166" w:rsidP="00633166">
      <w:pPr>
        <w:tabs>
          <w:tab w:val="right" w:pos="283"/>
          <w:tab w:val="right" w:pos="425"/>
          <w:tab w:val="right" w:pos="567"/>
        </w:tabs>
        <w:bidi/>
        <w:spacing w:before="240"/>
        <w:jc w:val="both"/>
        <w:rPr>
          <w:rFonts w:ascii="Simplified Arabic" w:hAnsi="Simplified Arabic" w:cs="Simplified Arabic"/>
          <w:sz w:val="28"/>
          <w:szCs w:val="28"/>
          <w:rtl/>
          <w:lang w:bidi="ar-DZ"/>
        </w:rPr>
      </w:pPr>
      <w:r w:rsidRPr="00145EA0">
        <w:rPr>
          <w:rFonts w:ascii="Simplified Arabic" w:hAnsi="Simplified Arabic" w:cs="Simplified Arabic"/>
          <w:sz w:val="28"/>
          <w:szCs w:val="28"/>
          <w:rtl/>
          <w:lang w:bidi="ar-DZ"/>
        </w:rPr>
        <w:t xml:space="preserve">كما تمكن </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كر</w:t>
      </w:r>
      <w:r w:rsidRPr="00145EA0">
        <w:rPr>
          <w:rFonts w:ascii="Simplified Arabic" w:hAnsi="Simplified Arabic" w:cs="Simplified Arabic"/>
          <w:sz w:val="28"/>
          <w:szCs w:val="28"/>
          <w:rtl/>
          <w:lang w:bidi="ar-DZ"/>
        </w:rPr>
        <w:t>ون</w:t>
      </w:r>
      <w:r>
        <w:rPr>
          <w:rFonts w:ascii="Simplified Arabic" w:hAnsi="Simplified Arabic" w:cs="Simplified Arabic" w:hint="cs"/>
          <w:sz w:val="28"/>
          <w:szCs w:val="28"/>
          <w:rtl/>
          <w:lang w:bidi="ar-DZ"/>
        </w:rPr>
        <w:t>"</w:t>
      </w:r>
      <w:r w:rsidRPr="00145EA0">
        <w:rPr>
          <w:rFonts w:ascii="Simplified Arabic" w:hAnsi="Simplified Arabic" w:cs="Simplified Arabic"/>
          <w:sz w:val="28"/>
          <w:szCs w:val="28"/>
          <w:rtl/>
          <w:lang w:bidi="ar-DZ"/>
        </w:rPr>
        <w:t xml:space="preserve"> في نطاق جمعية التراث الشعبي أن يضيف إلى مادة الأرشيف ما يقارب ثمانية عشر ألف 18000 مادة تحتوي على حكايات شعبية و أساطير و أشعار وحوار في التطير و التفاؤل السحر، و ألف دليلا ليكون رائدا في عملية الجمع للحكاية الشعبية و اسماه :</w:t>
      </w:r>
      <w:r w:rsidRPr="00145EA0">
        <w:rPr>
          <w:rFonts w:ascii="Simplified Arabic" w:hAnsi="Simplified Arabic" w:cs="Simplified Arabic"/>
          <w:b/>
          <w:sz w:val="28"/>
          <w:szCs w:val="28"/>
          <w:rtl/>
          <w:lang w:bidi="ar-DZ"/>
        </w:rPr>
        <w:t>دليل الجامعي للحكايات الشعبية الفنلندية "</w:t>
      </w:r>
      <w:r w:rsidRPr="00145EA0">
        <w:rPr>
          <w:rFonts w:ascii="Simplified Arabic" w:hAnsi="Simplified Arabic" w:cs="Simplified Arabic"/>
          <w:sz w:val="28"/>
          <w:szCs w:val="28"/>
          <w:rtl/>
          <w:lang w:bidi="ar-DZ"/>
        </w:rPr>
        <w:t xml:space="preserve">و قيل وفاة </w:t>
      </w:r>
      <w:r>
        <w:rPr>
          <w:rFonts w:ascii="Simplified Arabic" w:hAnsi="Simplified Arabic" w:cs="Simplified Arabic" w:hint="cs"/>
          <w:sz w:val="28"/>
          <w:szCs w:val="28"/>
          <w:rtl/>
          <w:lang w:bidi="ar-DZ"/>
        </w:rPr>
        <w:t>"</w:t>
      </w:r>
      <w:r w:rsidRPr="00145EA0">
        <w:rPr>
          <w:rFonts w:ascii="Simplified Arabic" w:hAnsi="Simplified Arabic" w:cs="Simplified Arabic"/>
          <w:sz w:val="28"/>
          <w:szCs w:val="28"/>
          <w:rtl/>
          <w:lang w:bidi="ar-DZ"/>
        </w:rPr>
        <w:t xml:space="preserve">كرون </w:t>
      </w:r>
      <w:r>
        <w:rPr>
          <w:rFonts w:ascii="Simplified Arabic" w:hAnsi="Simplified Arabic" w:cs="Simplified Arabic" w:hint="cs"/>
          <w:sz w:val="28"/>
          <w:szCs w:val="28"/>
          <w:rtl/>
          <w:lang w:bidi="ar-DZ"/>
        </w:rPr>
        <w:t>"</w:t>
      </w:r>
      <w:r w:rsidRPr="00145EA0">
        <w:rPr>
          <w:rFonts w:ascii="Simplified Arabic" w:hAnsi="Simplified Arabic" w:cs="Simplified Arabic"/>
          <w:sz w:val="28"/>
          <w:szCs w:val="28"/>
          <w:rtl/>
          <w:lang w:bidi="ar-DZ"/>
        </w:rPr>
        <w:t xml:space="preserve">بثلاث سنوات أي في 1930 بلغت مادة الأرشيف خمسمائة واثنان </w:t>
      </w:r>
      <w:r w:rsidRPr="00145EA0">
        <w:rPr>
          <w:rFonts w:ascii="Simplified Arabic" w:hAnsi="Simplified Arabic" w:cs="Simplified Arabic" w:hint="cs"/>
          <w:sz w:val="28"/>
          <w:szCs w:val="28"/>
          <w:rtl/>
          <w:lang w:bidi="ar-DZ"/>
        </w:rPr>
        <w:t>وأربعون</w:t>
      </w:r>
      <w:r w:rsidRPr="00145EA0">
        <w:rPr>
          <w:rFonts w:ascii="Simplified Arabic" w:hAnsi="Simplified Arabic" w:cs="Simplified Arabic"/>
          <w:sz w:val="28"/>
          <w:szCs w:val="28"/>
          <w:rtl/>
          <w:lang w:bidi="ar-DZ"/>
        </w:rPr>
        <w:t xml:space="preserve"> ألف </w:t>
      </w:r>
      <w:r w:rsidRPr="00145EA0">
        <w:rPr>
          <w:rFonts w:ascii="Simplified Arabic" w:hAnsi="Simplified Arabic" w:cs="Simplified Arabic"/>
          <w:b/>
          <w:sz w:val="28"/>
          <w:szCs w:val="28"/>
          <w:rtl/>
          <w:lang w:bidi="ar-DZ"/>
        </w:rPr>
        <w:t>542000</w:t>
      </w:r>
      <w:r w:rsidRPr="00145EA0">
        <w:rPr>
          <w:rFonts w:ascii="Simplified Arabic" w:hAnsi="Simplified Arabic" w:cs="Simplified Arabic"/>
          <w:sz w:val="28"/>
          <w:szCs w:val="28"/>
          <w:rtl/>
          <w:lang w:bidi="ar-DZ"/>
        </w:rPr>
        <w:t xml:space="preserve"> مادة و بعد وفاته خلفه في منصب بوصفه رئيسا للجمعية الوطنية للفلكلور الأستاذ الدكتور  </w:t>
      </w:r>
      <w:r>
        <w:rPr>
          <w:rFonts w:ascii="Simplified Arabic" w:hAnsi="Simplified Arabic" w:cs="Simplified Arabic" w:hint="cs"/>
          <w:sz w:val="28"/>
          <w:szCs w:val="28"/>
          <w:rtl/>
          <w:lang w:bidi="ar-DZ"/>
        </w:rPr>
        <w:t>"</w:t>
      </w:r>
      <w:r w:rsidRPr="00145EA0">
        <w:rPr>
          <w:rFonts w:ascii="Simplified Arabic" w:hAnsi="Simplified Arabic" w:cs="Simplified Arabic"/>
          <w:b/>
          <w:sz w:val="28"/>
          <w:szCs w:val="28"/>
          <w:rtl/>
          <w:lang w:bidi="ar-DZ"/>
        </w:rPr>
        <w:t xml:space="preserve">ماتي هافيو </w:t>
      </w:r>
      <w:r>
        <w:rPr>
          <w:rFonts w:ascii="Simplified Arabic" w:hAnsi="Simplified Arabic" w:cs="Simplified Arabic" w:hint="cs"/>
          <w:b/>
          <w:sz w:val="28"/>
          <w:szCs w:val="28"/>
          <w:rtl/>
          <w:lang w:bidi="ar-DZ"/>
        </w:rPr>
        <w:t>"</w:t>
      </w:r>
      <w:r w:rsidRPr="00145EA0">
        <w:rPr>
          <w:rFonts w:ascii="Simplified Arabic" w:hAnsi="Simplified Arabic" w:cs="Simplified Arabic"/>
          <w:sz w:val="28"/>
          <w:szCs w:val="28"/>
          <w:rtl/>
          <w:lang w:bidi="ar-DZ"/>
        </w:rPr>
        <w:t xml:space="preserve"> الذي شغل منصب أستاذ الفلكلور  المقارن بجامعة هلسنكي منذ عام 1949 حتى عام 1956 </w:t>
      </w:r>
      <w:r w:rsidRPr="00145EA0">
        <w:rPr>
          <w:rStyle w:val="Footnotereference"/>
          <w:rFonts w:ascii="Simplified Arabic" w:hAnsi="Simplified Arabic" w:cs="Simplified Arabic"/>
          <w:sz w:val="28"/>
          <w:szCs w:val="28"/>
          <w:rtl/>
          <w:lang w:bidi="ar-DZ"/>
        </w:rPr>
        <w:footnoteReference w:id="5"/>
      </w:r>
    </w:p>
    <w:p w:rsidR="00633166" w:rsidRPr="00145EA0" w:rsidRDefault="00633166" w:rsidP="00633166">
      <w:pPr>
        <w:tabs>
          <w:tab w:val="right" w:pos="283"/>
          <w:tab w:val="right" w:pos="425"/>
          <w:tab w:val="right" w:pos="567"/>
        </w:tabs>
        <w:bidi/>
        <w:spacing w:before="240"/>
        <w:jc w:val="both"/>
        <w:rPr>
          <w:rFonts w:ascii="Simplified Arabic" w:hAnsi="Simplified Arabic" w:cs="Simplified Arabic"/>
          <w:sz w:val="28"/>
          <w:szCs w:val="28"/>
          <w:rtl/>
          <w:lang w:bidi="ar-DZ"/>
        </w:rPr>
      </w:pPr>
      <w:r w:rsidRPr="00145EA0">
        <w:rPr>
          <w:rFonts w:ascii="Simplified Arabic" w:hAnsi="Simplified Arabic" w:cs="Simplified Arabic"/>
          <w:sz w:val="28"/>
          <w:szCs w:val="28"/>
          <w:rtl/>
          <w:lang w:bidi="ar-DZ"/>
        </w:rPr>
        <w:t xml:space="preserve">و هناك دراسة وجمع لأرشيف موضوعات و الذي يعتمد أساسا على التصنيف العلمي الذي وضعة الباحثون في كل مادة و هو تصنيف </w:t>
      </w:r>
      <w:r w:rsidRPr="00145EA0">
        <w:rPr>
          <w:rFonts w:ascii="Simplified Arabic" w:hAnsi="Simplified Arabic" w:cs="Simplified Arabic"/>
          <w:b/>
          <w:sz w:val="28"/>
          <w:szCs w:val="28"/>
          <w:rtl/>
          <w:lang w:bidi="ar-DZ"/>
        </w:rPr>
        <w:t xml:space="preserve">أنتي آني </w:t>
      </w:r>
      <w:r w:rsidRPr="00145EA0">
        <w:rPr>
          <w:rFonts w:ascii="Simplified Arabic" w:hAnsi="Simplified Arabic" w:cs="Simplified Arabic"/>
          <w:sz w:val="28"/>
          <w:szCs w:val="28"/>
          <w:rtl/>
          <w:lang w:bidi="ar-DZ"/>
        </w:rPr>
        <w:t xml:space="preserve"> للحكايات الشعبية ثم قام الأستاذ </w:t>
      </w:r>
      <w:r w:rsidRPr="00145EA0">
        <w:rPr>
          <w:rFonts w:ascii="Simplified Arabic" w:hAnsi="Simplified Arabic" w:cs="Simplified Arabic"/>
          <w:b/>
          <w:sz w:val="28"/>
          <w:szCs w:val="28"/>
          <w:rtl/>
          <w:lang w:bidi="ar-DZ"/>
        </w:rPr>
        <w:t xml:space="preserve"> سميث طومسون </w:t>
      </w:r>
      <w:r w:rsidRPr="00145EA0">
        <w:rPr>
          <w:rFonts w:ascii="Simplified Arabic" w:hAnsi="Simplified Arabic" w:cs="Simplified Arabic"/>
          <w:sz w:val="28"/>
          <w:szCs w:val="28"/>
          <w:rtl/>
          <w:lang w:bidi="ar-DZ"/>
        </w:rPr>
        <w:t xml:space="preserve"> بتنقيحه و أصبح يعرف بتصنيف </w:t>
      </w:r>
      <w:r w:rsidRPr="00145EA0">
        <w:rPr>
          <w:rFonts w:ascii="Simplified Arabic" w:hAnsi="Simplified Arabic" w:cs="Simplified Arabic"/>
          <w:b/>
          <w:sz w:val="28"/>
          <w:szCs w:val="28"/>
          <w:rtl/>
          <w:lang w:bidi="ar-DZ"/>
        </w:rPr>
        <w:t>آرني طومسون ،</w:t>
      </w:r>
      <w:r w:rsidRPr="00145EA0">
        <w:rPr>
          <w:rFonts w:ascii="Simplified Arabic" w:hAnsi="Simplified Arabic" w:cs="Simplified Arabic"/>
          <w:sz w:val="28"/>
          <w:szCs w:val="28"/>
          <w:rtl/>
          <w:lang w:bidi="ar-DZ"/>
        </w:rPr>
        <w:t xml:space="preserve"> و هو أشهر التصنيفات العالمية .</w:t>
      </w:r>
    </w:p>
    <w:p w:rsidR="00633166" w:rsidRPr="00145EA0" w:rsidRDefault="00633166" w:rsidP="00633166">
      <w:pPr>
        <w:tabs>
          <w:tab w:val="right" w:pos="283"/>
          <w:tab w:val="right" w:pos="425"/>
          <w:tab w:val="right" w:pos="567"/>
        </w:tabs>
        <w:bidi/>
        <w:spacing w:before="240"/>
        <w:jc w:val="both"/>
        <w:rPr>
          <w:rFonts w:ascii="Simplified Arabic" w:hAnsi="Simplified Arabic" w:cs="Simplified Arabic"/>
          <w:sz w:val="28"/>
          <w:szCs w:val="28"/>
          <w:rtl/>
          <w:lang w:bidi="ar-DZ"/>
        </w:rPr>
      </w:pPr>
      <w:r w:rsidRPr="00145EA0">
        <w:rPr>
          <w:rFonts w:ascii="Simplified Arabic" w:hAnsi="Simplified Arabic" w:cs="Simplified Arabic"/>
          <w:sz w:val="28"/>
          <w:szCs w:val="28"/>
          <w:rtl/>
          <w:lang w:bidi="ar-DZ"/>
        </w:rPr>
        <w:t xml:space="preserve">و انتشر بعد ذلك هذا المنهج في فنلندا و </w:t>
      </w:r>
      <w:r w:rsidRPr="00145EA0">
        <w:rPr>
          <w:rFonts w:ascii="Simplified Arabic" w:hAnsi="Simplified Arabic" w:cs="Simplified Arabic" w:hint="cs"/>
          <w:sz w:val="28"/>
          <w:szCs w:val="28"/>
          <w:rtl/>
          <w:lang w:bidi="ar-DZ"/>
        </w:rPr>
        <w:t>أوروبا</w:t>
      </w:r>
      <w:r w:rsidRPr="00145EA0">
        <w:rPr>
          <w:rFonts w:ascii="Simplified Arabic" w:hAnsi="Simplified Arabic" w:cs="Simplified Arabic"/>
          <w:sz w:val="28"/>
          <w:szCs w:val="28"/>
          <w:rtl/>
          <w:lang w:bidi="ar-DZ"/>
        </w:rPr>
        <w:t xml:space="preserve"> ثم اخذ منحى العالمية فيما بعد، و كان الهدف الأساس من وراء اعتماده هو الوصول إلى نماذج من التفكير و التصور ، لدى كل من الشعوب التي عاشت بينها </w:t>
      </w:r>
      <w:r w:rsidRPr="00145EA0">
        <w:rPr>
          <w:rFonts w:ascii="Simplified Arabic" w:hAnsi="Simplified Arabic" w:cs="Simplified Arabic"/>
          <w:sz w:val="28"/>
          <w:szCs w:val="28"/>
          <w:rtl/>
          <w:lang w:bidi="ar-DZ"/>
        </w:rPr>
        <w:lastRenderedPageBreak/>
        <w:t xml:space="preserve">الروايات المختلفة </w:t>
      </w:r>
      <w:r>
        <w:rPr>
          <w:rFonts w:ascii="Simplified Arabic" w:hAnsi="Simplified Arabic" w:cs="Simplified Arabic"/>
          <w:sz w:val="28"/>
          <w:szCs w:val="28"/>
          <w:rtl/>
          <w:lang w:bidi="ar-DZ"/>
        </w:rPr>
        <w:t xml:space="preserve"> للحكاية الواحدة,وعلى الباحث </w:t>
      </w:r>
      <w:r>
        <w:rPr>
          <w:rFonts w:ascii="Simplified Arabic" w:hAnsi="Simplified Arabic" w:cs="Simplified Arabic" w:hint="cs"/>
          <w:sz w:val="28"/>
          <w:szCs w:val="28"/>
          <w:rtl/>
          <w:lang w:bidi="ar-DZ"/>
        </w:rPr>
        <w:t>إذا</w:t>
      </w:r>
      <w:r w:rsidRPr="00145EA0">
        <w:rPr>
          <w:rFonts w:ascii="Simplified Arabic" w:hAnsi="Simplified Arabic" w:cs="Simplified Arabic"/>
          <w:sz w:val="28"/>
          <w:szCs w:val="28"/>
          <w:rtl/>
          <w:lang w:bidi="ar-DZ"/>
        </w:rPr>
        <w:t xml:space="preserve"> </w:t>
      </w:r>
      <w:r w:rsidRPr="00145EA0">
        <w:rPr>
          <w:rFonts w:ascii="Simplified Arabic" w:hAnsi="Simplified Arabic" w:cs="Simplified Arabic" w:hint="cs"/>
          <w:sz w:val="28"/>
          <w:szCs w:val="28"/>
          <w:rtl/>
          <w:lang w:bidi="ar-DZ"/>
        </w:rPr>
        <w:t>أن</w:t>
      </w:r>
      <w:r w:rsidRPr="00145EA0">
        <w:rPr>
          <w:rFonts w:ascii="Simplified Arabic" w:hAnsi="Simplified Arabic" w:cs="Simplified Arabic"/>
          <w:sz w:val="28"/>
          <w:szCs w:val="28"/>
          <w:rtl/>
          <w:lang w:bidi="ar-DZ"/>
        </w:rPr>
        <w:t xml:space="preserve"> يقارن بين الروايات المختلفة حتى يرتد بالحكاية إلى أصلها الأول ثم يسير معها في تجوالها، وفي سبيل ذلك عليه أن يتتبع خطة البحث التالية:</w:t>
      </w:r>
    </w:p>
    <w:p w:rsidR="00633166" w:rsidRPr="00145EA0" w:rsidRDefault="00633166" w:rsidP="00633166">
      <w:pPr>
        <w:pStyle w:val="Paragraphedeliste"/>
        <w:numPr>
          <w:ilvl w:val="0"/>
          <w:numId w:val="1"/>
        </w:numPr>
        <w:tabs>
          <w:tab w:val="right" w:pos="283"/>
          <w:tab w:val="right" w:pos="425"/>
          <w:tab w:val="right" w:pos="567"/>
        </w:tabs>
        <w:bidi/>
        <w:spacing w:before="240" w:after="200" w:line="276" w:lineRule="auto"/>
        <w:ind w:left="0" w:firstLine="0"/>
        <w:jc w:val="both"/>
        <w:rPr>
          <w:rFonts w:ascii="Simplified Arabic" w:hAnsi="Simplified Arabic" w:cs="Simplified Arabic"/>
          <w:sz w:val="28"/>
          <w:szCs w:val="28"/>
          <w:lang w:bidi="ar-DZ"/>
        </w:rPr>
      </w:pPr>
      <w:r w:rsidRPr="00145EA0">
        <w:rPr>
          <w:rFonts w:ascii="Simplified Arabic" w:hAnsi="Simplified Arabic" w:cs="Simplified Arabic"/>
          <w:sz w:val="28"/>
          <w:szCs w:val="28"/>
          <w:rtl/>
          <w:lang w:bidi="ar-DZ"/>
        </w:rPr>
        <w:t>جمع الروايات المختلفة للحكاية الواحدة جمعا متقنا شاملا</w:t>
      </w:r>
    </w:p>
    <w:p w:rsidR="00633166" w:rsidRPr="00145EA0" w:rsidRDefault="00633166" w:rsidP="00633166">
      <w:pPr>
        <w:pStyle w:val="Paragraphedeliste"/>
        <w:numPr>
          <w:ilvl w:val="0"/>
          <w:numId w:val="1"/>
        </w:numPr>
        <w:tabs>
          <w:tab w:val="right" w:pos="283"/>
          <w:tab w:val="right" w:pos="425"/>
          <w:tab w:val="right" w:pos="567"/>
        </w:tabs>
        <w:bidi/>
        <w:spacing w:before="240" w:after="200" w:line="276" w:lineRule="auto"/>
        <w:ind w:left="0" w:firstLine="0"/>
        <w:jc w:val="both"/>
        <w:rPr>
          <w:rFonts w:ascii="Simplified Arabic" w:hAnsi="Simplified Arabic" w:cs="Simplified Arabic"/>
          <w:sz w:val="28"/>
          <w:szCs w:val="28"/>
          <w:lang w:bidi="ar-DZ"/>
        </w:rPr>
      </w:pPr>
      <w:r w:rsidRPr="00145EA0">
        <w:rPr>
          <w:rFonts w:ascii="Simplified Arabic" w:hAnsi="Simplified Arabic" w:cs="Simplified Arabic"/>
          <w:sz w:val="28"/>
          <w:szCs w:val="28"/>
          <w:rtl/>
          <w:lang w:bidi="ar-DZ"/>
        </w:rPr>
        <w:t>ترتيب الحكايات ترتيبا مكانيا</w:t>
      </w:r>
    </w:p>
    <w:p w:rsidR="00633166" w:rsidRPr="00145EA0" w:rsidRDefault="00633166" w:rsidP="00633166">
      <w:pPr>
        <w:pStyle w:val="Paragraphedeliste"/>
        <w:numPr>
          <w:ilvl w:val="0"/>
          <w:numId w:val="1"/>
        </w:numPr>
        <w:tabs>
          <w:tab w:val="right" w:pos="283"/>
          <w:tab w:val="right" w:pos="425"/>
          <w:tab w:val="right" w:pos="567"/>
        </w:tabs>
        <w:bidi/>
        <w:spacing w:before="240" w:after="200" w:line="276" w:lineRule="auto"/>
        <w:ind w:left="0" w:firstLine="0"/>
        <w:jc w:val="both"/>
        <w:rPr>
          <w:rFonts w:ascii="Simplified Arabic" w:hAnsi="Simplified Arabic" w:cs="Simplified Arabic"/>
          <w:sz w:val="28"/>
          <w:szCs w:val="28"/>
          <w:lang w:bidi="ar-DZ"/>
        </w:rPr>
      </w:pPr>
      <w:r w:rsidRPr="00145EA0">
        <w:rPr>
          <w:rFonts w:ascii="Simplified Arabic" w:hAnsi="Simplified Arabic" w:cs="Simplified Arabic"/>
          <w:sz w:val="28"/>
          <w:szCs w:val="28"/>
          <w:rtl/>
          <w:lang w:bidi="ar-DZ"/>
        </w:rPr>
        <w:t>ترتيبها ترتيبا زمنيا قدر الإمكان</w:t>
      </w:r>
    </w:p>
    <w:p w:rsidR="00633166" w:rsidRPr="00145EA0" w:rsidRDefault="00633166" w:rsidP="00633166">
      <w:pPr>
        <w:pStyle w:val="Paragraphedeliste"/>
        <w:numPr>
          <w:ilvl w:val="0"/>
          <w:numId w:val="1"/>
        </w:numPr>
        <w:tabs>
          <w:tab w:val="right" w:pos="283"/>
          <w:tab w:val="right" w:pos="425"/>
          <w:tab w:val="right" w:pos="567"/>
        </w:tabs>
        <w:bidi/>
        <w:spacing w:before="240" w:after="200" w:line="276" w:lineRule="auto"/>
        <w:ind w:left="0" w:firstLine="0"/>
        <w:jc w:val="both"/>
        <w:rPr>
          <w:rFonts w:ascii="Simplified Arabic" w:hAnsi="Simplified Arabic" w:cs="Simplified Arabic"/>
          <w:sz w:val="28"/>
          <w:szCs w:val="28"/>
          <w:lang w:bidi="ar-DZ"/>
        </w:rPr>
      </w:pPr>
      <w:r w:rsidRPr="00145EA0">
        <w:rPr>
          <w:rFonts w:ascii="Simplified Arabic" w:hAnsi="Simplified Arabic" w:cs="Simplified Arabic"/>
          <w:sz w:val="28"/>
          <w:szCs w:val="28"/>
          <w:rtl/>
          <w:lang w:bidi="ar-DZ"/>
        </w:rPr>
        <w:t xml:space="preserve">تحليل مادة الحكاية الواحدة إلى عناصرها الأساسية و يبحث كل عنصر على </w:t>
      </w:r>
      <w:r w:rsidRPr="00145EA0">
        <w:rPr>
          <w:rFonts w:ascii="Simplified Arabic" w:hAnsi="Simplified Arabic" w:cs="Simplified Arabic" w:hint="cs"/>
          <w:sz w:val="28"/>
          <w:szCs w:val="28"/>
          <w:rtl/>
          <w:lang w:bidi="ar-DZ"/>
        </w:rPr>
        <w:t>حدا</w:t>
      </w:r>
    </w:p>
    <w:p w:rsidR="00633166" w:rsidRPr="00145EA0" w:rsidRDefault="00633166" w:rsidP="00633166">
      <w:pPr>
        <w:pStyle w:val="Paragraphedeliste"/>
        <w:numPr>
          <w:ilvl w:val="0"/>
          <w:numId w:val="1"/>
        </w:numPr>
        <w:tabs>
          <w:tab w:val="right" w:pos="283"/>
          <w:tab w:val="right" w:pos="425"/>
          <w:tab w:val="right" w:pos="567"/>
        </w:tabs>
        <w:bidi/>
        <w:spacing w:before="240" w:after="200" w:line="276" w:lineRule="auto"/>
        <w:ind w:left="0" w:firstLine="0"/>
        <w:jc w:val="both"/>
        <w:rPr>
          <w:rFonts w:ascii="Simplified Arabic" w:hAnsi="Simplified Arabic" w:cs="Simplified Arabic"/>
          <w:sz w:val="28"/>
          <w:szCs w:val="28"/>
          <w:lang w:bidi="ar-DZ"/>
        </w:rPr>
      </w:pPr>
      <w:r w:rsidRPr="00145EA0">
        <w:rPr>
          <w:rFonts w:ascii="Simplified Arabic" w:hAnsi="Simplified Arabic" w:cs="Simplified Arabic"/>
          <w:sz w:val="28"/>
          <w:szCs w:val="28"/>
          <w:rtl/>
          <w:lang w:bidi="ar-DZ"/>
        </w:rPr>
        <w:t>المقارنة بين ملامح العنصر الواحد في الروايات المتعددة و هذه الملامح هي الشخصيات و العناصر السحرية و القدرات أما الخطوة الثانية في البحث فيجب تتبع المراحل التالية</w:t>
      </w:r>
    </w:p>
    <w:p w:rsidR="00633166" w:rsidRPr="00145EA0" w:rsidRDefault="00633166" w:rsidP="00633166">
      <w:pPr>
        <w:pStyle w:val="Paragraphedeliste"/>
        <w:numPr>
          <w:ilvl w:val="0"/>
          <w:numId w:val="2"/>
        </w:numPr>
        <w:tabs>
          <w:tab w:val="right" w:pos="283"/>
          <w:tab w:val="right" w:pos="425"/>
          <w:tab w:val="right" w:pos="567"/>
        </w:tabs>
        <w:bidi/>
        <w:spacing w:before="240" w:after="200" w:line="276" w:lineRule="auto"/>
        <w:ind w:left="0" w:firstLine="0"/>
        <w:jc w:val="both"/>
        <w:rPr>
          <w:rFonts w:ascii="Simplified Arabic" w:hAnsi="Simplified Arabic" w:cs="Simplified Arabic"/>
          <w:sz w:val="28"/>
          <w:szCs w:val="28"/>
          <w:lang w:bidi="ar-DZ"/>
        </w:rPr>
      </w:pPr>
      <w:r w:rsidRPr="00145EA0">
        <w:rPr>
          <w:rFonts w:ascii="Simplified Arabic" w:hAnsi="Simplified Arabic" w:cs="Simplified Arabic"/>
          <w:sz w:val="28"/>
          <w:szCs w:val="28"/>
          <w:rtl/>
          <w:lang w:bidi="ar-DZ"/>
        </w:rPr>
        <w:t xml:space="preserve">أن </w:t>
      </w:r>
      <w:r>
        <w:rPr>
          <w:rFonts w:ascii="Simplified Arabic" w:hAnsi="Simplified Arabic" w:cs="Simplified Arabic" w:hint="cs"/>
          <w:sz w:val="28"/>
          <w:szCs w:val="28"/>
          <w:rtl/>
          <w:lang w:bidi="ar-DZ"/>
        </w:rPr>
        <w:t>"</w:t>
      </w:r>
      <w:r w:rsidRPr="00145EA0">
        <w:rPr>
          <w:rFonts w:ascii="Simplified Arabic" w:hAnsi="Simplified Arabic" w:cs="Simplified Arabic"/>
          <w:sz w:val="28"/>
          <w:szCs w:val="28"/>
          <w:rtl/>
          <w:lang w:bidi="ar-DZ"/>
        </w:rPr>
        <w:t xml:space="preserve">الموتيفات </w:t>
      </w:r>
      <w:r>
        <w:rPr>
          <w:rFonts w:ascii="Simplified Arabic" w:hAnsi="Simplified Arabic" w:cs="Simplified Arabic" w:hint="cs"/>
          <w:sz w:val="28"/>
          <w:szCs w:val="28"/>
          <w:rtl/>
          <w:lang w:bidi="ar-DZ"/>
        </w:rPr>
        <w:t>"</w:t>
      </w:r>
      <w:r w:rsidRPr="00145EA0">
        <w:rPr>
          <w:rFonts w:ascii="Simplified Arabic" w:hAnsi="Simplified Arabic" w:cs="Simplified Arabic"/>
          <w:sz w:val="28"/>
          <w:szCs w:val="28"/>
          <w:rtl/>
          <w:lang w:bidi="ar-DZ"/>
        </w:rPr>
        <w:t>التي ترد بوفرة في بعض الروايات أكثر أصالة من تلك التي ترد فيها بقلة</w:t>
      </w:r>
    </w:p>
    <w:p w:rsidR="00633166" w:rsidRPr="00145EA0" w:rsidRDefault="00633166" w:rsidP="00633166">
      <w:pPr>
        <w:pStyle w:val="Paragraphedeliste"/>
        <w:numPr>
          <w:ilvl w:val="0"/>
          <w:numId w:val="2"/>
        </w:numPr>
        <w:tabs>
          <w:tab w:val="right" w:pos="283"/>
          <w:tab w:val="right" w:pos="425"/>
          <w:tab w:val="right" w:pos="567"/>
        </w:tabs>
        <w:bidi/>
        <w:spacing w:before="240" w:after="200" w:line="276" w:lineRule="auto"/>
        <w:ind w:left="0" w:firstLine="0"/>
        <w:jc w:val="both"/>
        <w:rPr>
          <w:rFonts w:ascii="Simplified Arabic" w:hAnsi="Simplified Arabic" w:cs="Simplified Arabic"/>
          <w:sz w:val="28"/>
          <w:szCs w:val="28"/>
          <w:lang w:bidi="ar-DZ"/>
        </w:rPr>
      </w:pPr>
      <w:r w:rsidRPr="00145EA0">
        <w:rPr>
          <w:rFonts w:ascii="Simplified Arabic" w:hAnsi="Simplified Arabic" w:cs="Simplified Arabic"/>
          <w:sz w:val="28"/>
          <w:szCs w:val="28"/>
          <w:rtl/>
          <w:lang w:bidi="ar-DZ"/>
        </w:rPr>
        <w:t>قد ترشد الأحوال الطبيعية التي تظهر في الروايات المختلفة إلى تحديد الأصل المكاني</w:t>
      </w:r>
    </w:p>
    <w:p w:rsidR="00633166" w:rsidRPr="00145EA0" w:rsidRDefault="00633166" w:rsidP="00633166">
      <w:pPr>
        <w:pStyle w:val="Paragraphedeliste"/>
        <w:numPr>
          <w:ilvl w:val="0"/>
          <w:numId w:val="2"/>
        </w:numPr>
        <w:tabs>
          <w:tab w:val="right" w:pos="283"/>
          <w:tab w:val="right" w:pos="425"/>
          <w:tab w:val="right" w:pos="567"/>
        </w:tabs>
        <w:bidi/>
        <w:spacing w:before="240" w:after="200" w:line="276" w:lineRule="auto"/>
        <w:ind w:left="0" w:firstLine="0"/>
        <w:jc w:val="both"/>
        <w:rPr>
          <w:rFonts w:ascii="Simplified Arabic" w:hAnsi="Simplified Arabic" w:cs="Simplified Arabic"/>
          <w:sz w:val="28"/>
          <w:szCs w:val="28"/>
          <w:lang w:bidi="ar-DZ"/>
        </w:rPr>
      </w:pPr>
      <w:r w:rsidRPr="00145EA0">
        <w:rPr>
          <w:rFonts w:ascii="Simplified Arabic" w:hAnsi="Simplified Arabic" w:cs="Simplified Arabic"/>
          <w:sz w:val="28"/>
          <w:szCs w:val="28"/>
          <w:rtl/>
          <w:lang w:bidi="ar-DZ"/>
        </w:rPr>
        <w:t>الملامح التي تنتشر في مساحة مكانية شاسعة أكثر أصالة من تلك التي تنتشر في مكان محدد.</w:t>
      </w:r>
    </w:p>
    <w:p w:rsidR="00633166" w:rsidRPr="00145EA0" w:rsidRDefault="00633166" w:rsidP="00633166">
      <w:pPr>
        <w:pStyle w:val="Paragraphedeliste"/>
        <w:numPr>
          <w:ilvl w:val="0"/>
          <w:numId w:val="2"/>
        </w:numPr>
        <w:tabs>
          <w:tab w:val="right" w:pos="283"/>
          <w:tab w:val="right" w:pos="425"/>
          <w:tab w:val="right" w:pos="567"/>
        </w:tabs>
        <w:bidi/>
        <w:spacing w:before="240" w:after="200" w:line="276" w:lineRule="auto"/>
        <w:ind w:left="0" w:firstLine="0"/>
        <w:jc w:val="both"/>
        <w:rPr>
          <w:rFonts w:ascii="Simplified Arabic" w:hAnsi="Simplified Arabic" w:cs="Simplified Arabic"/>
          <w:sz w:val="28"/>
          <w:szCs w:val="28"/>
          <w:lang w:bidi="ar-DZ"/>
        </w:rPr>
      </w:pPr>
      <w:r w:rsidRPr="00145EA0">
        <w:rPr>
          <w:rFonts w:ascii="Simplified Arabic" w:hAnsi="Simplified Arabic" w:cs="Simplified Arabic"/>
          <w:sz w:val="28"/>
          <w:szCs w:val="28"/>
          <w:rtl/>
          <w:lang w:bidi="ar-DZ"/>
        </w:rPr>
        <w:t>إذا كانت هناك روايتان إحداهما ناقصة، و الأخرى مكتملة تفضل الرواية الثانية عن الأولى</w:t>
      </w:r>
      <w:r w:rsidRPr="00145EA0">
        <w:rPr>
          <w:rStyle w:val="Footnotereference"/>
          <w:rFonts w:ascii="Simplified Arabic" w:hAnsi="Simplified Arabic" w:cs="Simplified Arabic"/>
          <w:sz w:val="28"/>
          <w:szCs w:val="28"/>
          <w:rtl/>
          <w:lang w:bidi="ar-DZ"/>
        </w:rPr>
        <w:footnoteReference w:id="6"/>
      </w:r>
    </w:p>
    <w:p w:rsidR="00633166" w:rsidRDefault="00633166" w:rsidP="00633166">
      <w:pPr>
        <w:jc w:val="right"/>
        <w:rPr>
          <w:rFonts w:hint="cs"/>
          <w:rtl/>
          <w:lang w:bidi="ar-DZ"/>
        </w:rPr>
      </w:pPr>
      <w:r w:rsidRPr="00145EA0">
        <w:rPr>
          <w:rFonts w:ascii="Simplified Arabic" w:hAnsi="Simplified Arabic" w:cs="Simplified Arabic"/>
          <w:sz w:val="28"/>
          <w:szCs w:val="28"/>
          <w:rtl/>
          <w:lang w:bidi="ar-DZ"/>
        </w:rPr>
        <w:t>و مع كل هذا فقد وجهت كثير الانتقادات لهذا المنهج على أساس أنه تبذل فيه مجهودات جبارة إن على الصعيد المادي أو الفكري أو حتى التعب الجسماني و في الأخير قد لا يصل فيه الباحث إلى النتائج المرجوة أو النتيجة الأقرب إلى الحقيقة  أو الأصل</w:t>
      </w:r>
      <w:r>
        <w:rPr>
          <w:rFonts w:ascii="Simplified Arabic" w:hAnsi="Simplified Arabic" w:cs="Simplified Arabic" w:hint="cs"/>
          <w:sz w:val="28"/>
          <w:szCs w:val="28"/>
          <w:rtl/>
          <w:lang w:bidi="ar-DZ"/>
        </w:rPr>
        <w:t>.</w:t>
      </w:r>
    </w:p>
    <w:p w:rsidR="008168A6" w:rsidRDefault="008168A6" w:rsidP="008168A6">
      <w:pPr>
        <w:jc w:val="right"/>
        <w:rPr>
          <w:rFonts w:hint="cs"/>
          <w:lang w:bidi="ar-DZ"/>
        </w:rPr>
      </w:pPr>
    </w:p>
    <w:sectPr w:rsidR="008168A6" w:rsidSect="00D356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B62" w:rsidRDefault="00ED1B62" w:rsidP="00633166">
      <w:pPr>
        <w:spacing w:after="0" w:line="240" w:lineRule="auto"/>
      </w:pPr>
      <w:r>
        <w:separator/>
      </w:r>
    </w:p>
  </w:endnote>
  <w:endnote w:type="continuationSeparator" w:id="1">
    <w:p w:rsidR="00ED1B62" w:rsidRDefault="00ED1B62" w:rsidP="00633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B62" w:rsidRDefault="00ED1B62" w:rsidP="00633166">
      <w:pPr>
        <w:spacing w:after="0" w:line="240" w:lineRule="auto"/>
      </w:pPr>
      <w:r>
        <w:separator/>
      </w:r>
    </w:p>
  </w:footnote>
  <w:footnote w:type="continuationSeparator" w:id="1">
    <w:p w:rsidR="00ED1B62" w:rsidRDefault="00ED1B62" w:rsidP="00633166">
      <w:pPr>
        <w:spacing w:after="0" w:line="240" w:lineRule="auto"/>
      </w:pPr>
      <w:r>
        <w:continuationSeparator/>
      </w:r>
    </w:p>
  </w:footnote>
  <w:footnote w:id="2">
    <w:p w:rsidR="00633166" w:rsidRDefault="00633166" w:rsidP="00633166">
      <w:pPr>
        <w:pStyle w:val="Footnotetext"/>
        <w:jc w:val="left"/>
        <w:rPr>
          <w:rtl/>
          <w:lang w:bidi="ar-DZ"/>
        </w:rPr>
      </w:pPr>
      <w:r>
        <w:rPr>
          <w:rStyle w:val="Footnotereference"/>
        </w:rPr>
        <w:footnoteRef/>
      </w:r>
      <w:r>
        <w:t xml:space="preserve"> </w:t>
      </w:r>
      <w:hyperlink r:id="rId1" w:history="1">
        <w:r>
          <w:rPr>
            <w:rStyle w:val="Lienhypertexte"/>
            <w:lang w:bidi="ar-DZ"/>
          </w:rPr>
          <w:t>WWW.ARANTHROPOS.COM</w:t>
        </w:r>
      </w:hyperlink>
      <w:r>
        <w:rPr>
          <w:rtl/>
          <w:lang w:bidi="ar-DZ"/>
        </w:rPr>
        <w:t xml:space="preserve">   موقع ارنترويوس   </w:t>
      </w:r>
    </w:p>
  </w:footnote>
  <w:footnote w:id="3">
    <w:p w:rsidR="00633166" w:rsidRDefault="00633166" w:rsidP="00633166">
      <w:pPr>
        <w:pStyle w:val="Footnotetext"/>
        <w:jc w:val="left"/>
        <w:rPr>
          <w:rtl/>
          <w:lang w:bidi="ar-DZ"/>
        </w:rPr>
      </w:pPr>
      <w:r>
        <w:rPr>
          <w:rStyle w:val="Footnotereference"/>
        </w:rPr>
        <w:footnoteRef/>
      </w:r>
      <w:r>
        <w:t xml:space="preserve"> </w:t>
      </w:r>
      <w:r>
        <w:rPr>
          <w:rStyle w:val="Footnotereference"/>
        </w:rPr>
        <w:footnoteRef/>
      </w:r>
      <w:r>
        <w:t xml:space="preserve"> </w:t>
      </w:r>
      <w:hyperlink r:id="rId2" w:history="1">
        <w:r>
          <w:rPr>
            <w:rStyle w:val="Lienhypertexte"/>
            <w:lang w:bidi="ar-DZ"/>
          </w:rPr>
          <w:t>WWW.ARANTHROPOS.COM</w:t>
        </w:r>
      </w:hyperlink>
      <w:r>
        <w:rPr>
          <w:rtl/>
          <w:lang w:bidi="ar-DZ"/>
        </w:rPr>
        <w:t xml:space="preserve">   </w:t>
      </w:r>
    </w:p>
    <w:p w:rsidR="00633166" w:rsidRDefault="00633166" w:rsidP="00633166">
      <w:pPr>
        <w:pStyle w:val="Footnotetext"/>
        <w:bidi/>
        <w:jc w:val="left"/>
        <w:rPr>
          <w:rtl/>
          <w:lang w:bidi="ar-DZ"/>
        </w:rPr>
      </w:pPr>
    </w:p>
  </w:footnote>
  <w:footnote w:id="4">
    <w:p w:rsidR="00633166" w:rsidRDefault="00633166" w:rsidP="00633166">
      <w:pPr>
        <w:pStyle w:val="Footnotetext"/>
        <w:bidi/>
        <w:jc w:val="left"/>
        <w:rPr>
          <w:rtl/>
          <w:lang w:bidi="ar-DZ"/>
        </w:rPr>
      </w:pPr>
      <w:r>
        <w:rPr>
          <w:rStyle w:val="Footnotereference"/>
        </w:rPr>
        <w:footnoteRef/>
      </w:r>
      <w:r>
        <w:t xml:space="preserve">  </w:t>
      </w:r>
      <w:r>
        <w:rPr>
          <w:rtl/>
          <w:lang w:bidi="ar-DZ"/>
        </w:rPr>
        <w:t>نبيلة إبراهيم سالم، الدراسات الشعبية بن النظرية و التطبيق ، مكتبة القاهرة الحديثة ،د ط، ،دس، ص 40</w:t>
      </w:r>
    </w:p>
  </w:footnote>
  <w:footnote w:id="5">
    <w:p w:rsidR="00633166" w:rsidRDefault="00633166" w:rsidP="00633166">
      <w:pPr>
        <w:pStyle w:val="Footnotetext"/>
        <w:bidi/>
        <w:jc w:val="left"/>
        <w:rPr>
          <w:rtl/>
          <w:lang w:bidi="ar-DZ"/>
        </w:rPr>
      </w:pPr>
      <w:r>
        <w:rPr>
          <w:rStyle w:val="Footnotereference"/>
        </w:rPr>
        <w:footnoteRef/>
      </w:r>
      <w:r>
        <w:rPr>
          <w:rtl/>
        </w:rPr>
        <w:t xml:space="preserve">  ينظر : نبيلة إبراهيم سالم : الدراسات الشعبية بين النظرية و التطبيق، ص4</w:t>
      </w:r>
    </w:p>
  </w:footnote>
  <w:footnote w:id="6">
    <w:p w:rsidR="00633166" w:rsidRDefault="00633166" w:rsidP="00633166">
      <w:pPr>
        <w:pStyle w:val="Footnotetext"/>
        <w:bidi/>
        <w:jc w:val="left"/>
        <w:rPr>
          <w:rtl/>
          <w:lang w:bidi="ar-DZ"/>
        </w:rPr>
      </w:pPr>
      <w:r>
        <w:rPr>
          <w:rStyle w:val="Footnotereference"/>
        </w:rPr>
        <w:footnoteRef/>
      </w:r>
      <w:r>
        <w:t xml:space="preserve"> </w:t>
      </w:r>
      <w:r>
        <w:rPr>
          <w:rtl/>
        </w:rPr>
        <w:t>نبيلة إبراهيم سالم : مرجع سابق ،ص 46-47.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85614"/>
    <w:multiLevelType w:val="hybridMultilevel"/>
    <w:tmpl w:val="E8B4056A"/>
    <w:lvl w:ilvl="0" w:tplc="1F74F5C0">
      <w:start w:val="1"/>
      <w:numFmt w:val="decimal"/>
      <w:lvlText w:val="%1-"/>
      <w:lvlJc w:val="left"/>
      <w:pPr>
        <w:ind w:left="1080" w:hanging="720"/>
      </w:pPr>
    </w:lvl>
    <w:lvl w:ilvl="1" w:tplc="92F67598">
      <w:start w:val="1"/>
      <w:numFmt w:val="lowerLetter"/>
      <w:lvlText w:val="%2."/>
      <w:lvlJc w:val="left"/>
      <w:pPr>
        <w:ind w:left="1440" w:hanging="360"/>
      </w:pPr>
    </w:lvl>
    <w:lvl w:ilvl="2" w:tplc="DCC87B78">
      <w:start w:val="1"/>
      <w:numFmt w:val="lowerRoman"/>
      <w:lvlText w:val="%3."/>
      <w:lvlJc w:val="right"/>
      <w:pPr>
        <w:ind w:left="2160" w:hanging="180"/>
      </w:pPr>
    </w:lvl>
    <w:lvl w:ilvl="3" w:tplc="31782138">
      <w:start w:val="1"/>
      <w:numFmt w:val="decimal"/>
      <w:lvlText w:val="%4."/>
      <w:lvlJc w:val="left"/>
      <w:pPr>
        <w:ind w:left="2880" w:hanging="360"/>
      </w:pPr>
    </w:lvl>
    <w:lvl w:ilvl="4" w:tplc="E5BC0A90">
      <w:start w:val="1"/>
      <w:numFmt w:val="lowerLetter"/>
      <w:lvlText w:val="%5."/>
      <w:lvlJc w:val="left"/>
      <w:pPr>
        <w:ind w:left="3600" w:hanging="360"/>
      </w:pPr>
    </w:lvl>
    <w:lvl w:ilvl="5" w:tplc="A4A61342">
      <w:start w:val="1"/>
      <w:numFmt w:val="lowerRoman"/>
      <w:lvlText w:val="%6."/>
      <w:lvlJc w:val="right"/>
      <w:pPr>
        <w:ind w:left="4320" w:hanging="180"/>
      </w:pPr>
    </w:lvl>
    <w:lvl w:ilvl="6" w:tplc="50DA0CEE">
      <w:start w:val="1"/>
      <w:numFmt w:val="decimal"/>
      <w:lvlText w:val="%7."/>
      <w:lvlJc w:val="left"/>
      <w:pPr>
        <w:ind w:left="5040" w:hanging="360"/>
      </w:pPr>
    </w:lvl>
    <w:lvl w:ilvl="7" w:tplc="44780956">
      <w:start w:val="1"/>
      <w:numFmt w:val="lowerLetter"/>
      <w:lvlText w:val="%8."/>
      <w:lvlJc w:val="left"/>
      <w:pPr>
        <w:ind w:left="5760" w:hanging="360"/>
      </w:pPr>
    </w:lvl>
    <w:lvl w:ilvl="8" w:tplc="664E4660">
      <w:start w:val="1"/>
      <w:numFmt w:val="lowerRoman"/>
      <w:lvlText w:val="%9."/>
      <w:lvlJc w:val="right"/>
      <w:pPr>
        <w:ind w:left="6480" w:hanging="180"/>
      </w:pPr>
    </w:lvl>
  </w:abstractNum>
  <w:abstractNum w:abstractNumId="1">
    <w:nsid w:val="2826684F"/>
    <w:multiLevelType w:val="hybridMultilevel"/>
    <w:tmpl w:val="BAE6C026"/>
    <w:lvl w:ilvl="0" w:tplc="FC607CA2">
      <w:start w:val="1"/>
      <w:numFmt w:val="decimal"/>
      <w:lvlText w:val="%1-"/>
      <w:lvlJc w:val="left"/>
      <w:pPr>
        <w:ind w:left="1800" w:hanging="720"/>
      </w:pPr>
    </w:lvl>
    <w:lvl w:ilvl="1" w:tplc="E370EB94">
      <w:start w:val="1"/>
      <w:numFmt w:val="lowerLetter"/>
      <w:lvlText w:val="%2."/>
      <w:lvlJc w:val="left"/>
      <w:pPr>
        <w:ind w:left="2160" w:hanging="360"/>
      </w:pPr>
    </w:lvl>
    <w:lvl w:ilvl="2" w:tplc="0E760AD0">
      <w:start w:val="1"/>
      <w:numFmt w:val="lowerRoman"/>
      <w:lvlText w:val="%3."/>
      <w:lvlJc w:val="right"/>
      <w:pPr>
        <w:ind w:left="2880" w:hanging="180"/>
      </w:pPr>
    </w:lvl>
    <w:lvl w:ilvl="3" w:tplc="2C040F92">
      <w:start w:val="1"/>
      <w:numFmt w:val="decimal"/>
      <w:lvlText w:val="%4."/>
      <w:lvlJc w:val="left"/>
      <w:pPr>
        <w:ind w:left="3600" w:hanging="360"/>
      </w:pPr>
    </w:lvl>
    <w:lvl w:ilvl="4" w:tplc="AC0AAB52">
      <w:start w:val="1"/>
      <w:numFmt w:val="lowerLetter"/>
      <w:lvlText w:val="%5."/>
      <w:lvlJc w:val="left"/>
      <w:pPr>
        <w:ind w:left="4320" w:hanging="360"/>
      </w:pPr>
    </w:lvl>
    <w:lvl w:ilvl="5" w:tplc="1E286DDA">
      <w:start w:val="1"/>
      <w:numFmt w:val="lowerRoman"/>
      <w:lvlText w:val="%6."/>
      <w:lvlJc w:val="right"/>
      <w:pPr>
        <w:ind w:left="5040" w:hanging="180"/>
      </w:pPr>
    </w:lvl>
    <w:lvl w:ilvl="6" w:tplc="BF7EEE42">
      <w:start w:val="1"/>
      <w:numFmt w:val="decimal"/>
      <w:lvlText w:val="%7."/>
      <w:lvlJc w:val="left"/>
      <w:pPr>
        <w:ind w:left="5760" w:hanging="360"/>
      </w:pPr>
    </w:lvl>
    <w:lvl w:ilvl="7" w:tplc="F0188362">
      <w:start w:val="1"/>
      <w:numFmt w:val="lowerLetter"/>
      <w:lvlText w:val="%8."/>
      <w:lvlJc w:val="left"/>
      <w:pPr>
        <w:ind w:left="6480" w:hanging="360"/>
      </w:pPr>
    </w:lvl>
    <w:lvl w:ilvl="8" w:tplc="DE6C8FC4">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8168A6"/>
    <w:rsid w:val="00633166"/>
    <w:rsid w:val="007734DA"/>
    <w:rsid w:val="008168A6"/>
    <w:rsid w:val="00A20615"/>
    <w:rsid w:val="00D356D5"/>
    <w:rsid w:val="00ED1B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reference">
    <w:name w:val="Footnote reference"/>
    <w:basedOn w:val="Policepardfaut"/>
    <w:uiPriority w:val="99"/>
    <w:semiHidden/>
    <w:unhideWhenUsed/>
    <w:rsid w:val="00633166"/>
    <w:rPr>
      <w:vertAlign w:val="superscript"/>
    </w:rPr>
  </w:style>
  <w:style w:type="character" w:styleId="Lienhypertexte">
    <w:name w:val="Hyperlink"/>
    <w:basedOn w:val="Policepardfaut"/>
    <w:uiPriority w:val="99"/>
    <w:unhideWhenUsed/>
    <w:rsid w:val="00633166"/>
    <w:rPr>
      <w:color w:val="0000FF" w:themeColor="hyperlink"/>
      <w:u w:val="single"/>
    </w:rPr>
  </w:style>
  <w:style w:type="character" w:customStyle="1" w:styleId="NotedebasdepageCar">
    <w:name w:val="Note de bas de page Car"/>
    <w:basedOn w:val="Policepardfaut"/>
    <w:link w:val="Footnotetext"/>
    <w:uiPriority w:val="99"/>
    <w:semiHidden/>
    <w:rsid w:val="00633166"/>
    <w:rPr>
      <w:sz w:val="20"/>
    </w:rPr>
  </w:style>
  <w:style w:type="paragraph" w:customStyle="1" w:styleId="Footnotetext">
    <w:name w:val="Footnote text"/>
    <w:basedOn w:val="Normal"/>
    <w:link w:val="NotedebasdepageCar"/>
    <w:uiPriority w:val="99"/>
    <w:semiHidden/>
    <w:unhideWhenUsed/>
    <w:rsid w:val="00633166"/>
    <w:pPr>
      <w:spacing w:after="0" w:line="240" w:lineRule="auto"/>
      <w:jc w:val="right"/>
    </w:pPr>
    <w:rPr>
      <w:sz w:val="20"/>
    </w:rPr>
  </w:style>
  <w:style w:type="paragraph" w:styleId="Paragraphedeliste">
    <w:name w:val="List Paragraph"/>
    <w:basedOn w:val="Normal"/>
    <w:uiPriority w:val="34"/>
    <w:qFormat/>
    <w:rsid w:val="00633166"/>
    <w:pPr>
      <w:spacing w:after="160" w:line="259" w:lineRule="auto"/>
      <w:ind w:left="720"/>
      <w:contextualSpacing/>
      <w:jc w:val="right"/>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ARANTHROPOS.COM" TargetMode="External"/><Relationship Id="rId1" Type="http://schemas.openxmlformats.org/officeDocument/2006/relationships/hyperlink" Target="http://WWW.ARANTHROPO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3481</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2019-12-16T20:07:00Z</dcterms:created>
  <dcterms:modified xsi:type="dcterms:W3CDTF">2019-12-16T20:12:00Z</dcterms:modified>
</cp:coreProperties>
</file>