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33" w:rsidRDefault="00856833" w:rsidP="00856833">
      <w:pPr>
        <w:spacing w:after="200"/>
        <w:jc w:val="both"/>
        <w:rPr>
          <w:rFonts w:ascii="Simplified Arabic" w:hAnsi="Simplified Arabic"/>
          <w:b/>
          <w:bCs/>
          <w:color w:val="000000"/>
          <w:sz w:val="32"/>
          <w:rtl/>
        </w:rPr>
      </w:pPr>
      <w:r w:rsidRPr="008B6C3C">
        <w:rPr>
          <w:rFonts w:ascii="Simplified Arabic" w:hAnsi="Simplified Arabic"/>
          <w:b/>
          <w:bCs/>
          <w:color w:val="000000"/>
          <w:sz w:val="32"/>
          <w:rtl/>
        </w:rPr>
        <w:t>النقد الجدید</w:t>
      </w:r>
      <w:r w:rsidRPr="008B6C3C">
        <w:rPr>
          <w:rFonts w:ascii="Simplified Arabic" w:hAnsi="Simplified Arabic"/>
        </w:rPr>
        <w:t xml:space="preserve"> </w:t>
      </w:r>
      <w:r w:rsidRPr="008B6C3C">
        <w:rPr>
          <w:rFonts w:ascii="Simplified Arabic" w:hAnsi="Simplified Arabic"/>
          <w:b/>
          <w:bCs/>
          <w:color w:val="000000"/>
          <w:sz w:val="32"/>
        </w:rPr>
        <w:t>New criticisme</w:t>
      </w:r>
      <w:r>
        <w:rPr>
          <w:rFonts w:ascii="Simplified Arabic" w:hAnsi="Simplified Arabic" w:hint="cs"/>
          <w:b/>
          <w:bCs/>
          <w:color w:val="000000"/>
          <w:sz w:val="32"/>
          <w:rtl/>
        </w:rPr>
        <w:t>:</w:t>
      </w:r>
    </w:p>
    <w:p w:rsidR="00856833" w:rsidRDefault="00856833" w:rsidP="00856833">
      <w:pPr>
        <w:spacing w:after="200"/>
        <w:jc w:val="both"/>
        <w:rPr>
          <w:rFonts w:ascii="Simplified Arabic" w:hAnsi="Simplified Arabic"/>
          <w:color w:val="000000"/>
          <w:sz w:val="32"/>
          <w:rtl/>
        </w:rPr>
      </w:pPr>
      <w:r>
        <w:rPr>
          <w:rFonts w:ascii="Simplified Arabic" w:hAnsi="Simplified Arabic" w:hint="cs"/>
          <w:color w:val="000000"/>
          <w:sz w:val="32"/>
          <w:rtl/>
        </w:rPr>
        <w:t>تعد حركة النقد الجديد امتدادا للفلسفة المثالية عند كانط وهيغل وذلك  من خلال المبدأ الجمالي للغة.</w:t>
      </w:r>
    </w:p>
    <w:p w:rsidR="00856833" w:rsidRDefault="00856833" w:rsidP="00856833">
      <w:pPr>
        <w:spacing w:after="200"/>
        <w:jc w:val="both"/>
        <w:rPr>
          <w:rFonts w:ascii="Simplified Arabic" w:hAnsi="Simplified Arabic"/>
          <w:color w:val="000000"/>
          <w:sz w:val="32"/>
          <w:rtl/>
        </w:rPr>
      </w:pPr>
      <w:r>
        <w:rPr>
          <w:rFonts w:ascii="Simplified Arabic" w:hAnsi="Simplified Arabic" w:hint="cs"/>
          <w:color w:val="000000"/>
          <w:sz w:val="32"/>
          <w:rtl/>
        </w:rPr>
        <w:t>وظهر مصطلح النقد الجديد في الولايات المتحدة الأمريكية وأوربا بعد الحرب العالمية الأولى،ليكون مناقضا لما تدعو إليه المناهج النقدية الكلاسيكية؛حيث يرى أصحاب النقد الجديد أن هذه المناهج الكلاسيكية عاجزة كونها تعالج قضايا بعيدة "اجتماعية و وتاريخية" عن العمل الأدبي وحقائقه وخباياه.</w:t>
      </w:r>
      <w:r>
        <w:rPr>
          <w:rStyle w:val="a4"/>
          <w:rFonts w:ascii="Simplified Arabic" w:hAnsi="Simplified Arabic"/>
          <w:color w:val="000000"/>
          <w:sz w:val="32"/>
          <w:rtl/>
        </w:rPr>
        <w:footnoteReference w:id="2"/>
      </w:r>
    </w:p>
    <w:p w:rsidR="00856833" w:rsidRPr="0098300D" w:rsidRDefault="00856833" w:rsidP="00856833">
      <w:pPr>
        <w:spacing w:after="200"/>
        <w:jc w:val="both"/>
        <w:rPr>
          <w:rFonts w:ascii="Simplified Arabic" w:hAnsi="Simplified Arabic"/>
          <w:sz w:val="32"/>
          <w:rtl/>
          <w:lang w:val="fr-FR" w:bidi="ar-DZ"/>
        </w:rPr>
      </w:pPr>
      <w:r w:rsidRPr="0098300D">
        <w:rPr>
          <w:rFonts w:ascii="Simplified Arabic" w:hAnsi="Simplified Arabic" w:hint="cs"/>
          <w:color w:val="000000"/>
          <w:sz w:val="32"/>
          <w:rtl/>
        </w:rPr>
        <w:t xml:space="preserve">وهي </w:t>
      </w:r>
      <w:r>
        <w:rPr>
          <w:rFonts w:ascii="Simplified Arabic" w:hAnsi="Simplified Arabic" w:hint="cs"/>
          <w:color w:val="000000"/>
          <w:sz w:val="32"/>
          <w:rtl/>
        </w:rPr>
        <w:t>حركة نقدية أنجلو أمريكية ظهرت خلال النصف الأول من القرن العشرين،ذاع صيتها وتعتبر سنة1941  وهي سنة حاسمة ونقطة انعطاف في تاريخها والعالم برمته،حيث ظهر كتاب"جون كرو رانسوم" المسمى"</w:t>
      </w:r>
      <w:r>
        <w:rPr>
          <w:rFonts w:ascii="Simplified Arabic" w:hAnsi="Simplified Arabic"/>
          <w:b/>
          <w:bCs/>
          <w:color w:val="000000"/>
          <w:sz w:val="32"/>
        </w:rPr>
        <w:t xml:space="preserve">the </w:t>
      </w:r>
      <w:r w:rsidRPr="008B6C3C">
        <w:rPr>
          <w:rFonts w:ascii="Simplified Arabic" w:hAnsi="Simplified Arabic"/>
          <w:b/>
          <w:bCs/>
          <w:color w:val="000000"/>
          <w:sz w:val="32"/>
        </w:rPr>
        <w:t>New criticism</w:t>
      </w:r>
      <w:r>
        <w:rPr>
          <w:rFonts w:ascii="Simplified Arabic" w:hAnsi="Simplified Arabic" w:hint="cs"/>
          <w:b/>
          <w:bCs/>
          <w:color w:val="000000"/>
          <w:sz w:val="32"/>
          <w:rtl/>
        </w:rPr>
        <w:t>"</w:t>
      </w:r>
      <w:r>
        <w:rPr>
          <w:rFonts w:ascii="Simplified Arabic" w:hAnsi="Simplified Arabic" w:hint="cs"/>
          <w:b/>
          <w:bCs/>
          <w:color w:val="000000"/>
          <w:sz w:val="32"/>
          <w:rtl/>
          <w:lang w:val="fr-FR" w:bidi="ar-DZ"/>
        </w:rPr>
        <w:t xml:space="preserve"> </w:t>
      </w:r>
      <w:r>
        <w:rPr>
          <w:rFonts w:ascii="Simplified Arabic" w:hAnsi="Simplified Arabic" w:hint="cs"/>
          <w:color w:val="000000"/>
          <w:sz w:val="32"/>
          <w:rtl/>
          <w:lang w:val="fr-FR" w:bidi="ar-DZ"/>
        </w:rPr>
        <w:t>الذي صار عنوانه اسما للمدرسة كلها.</w:t>
      </w:r>
      <w:r>
        <w:rPr>
          <w:rStyle w:val="a4"/>
          <w:rFonts w:ascii="Simplified Arabic" w:hAnsi="Simplified Arabic"/>
          <w:color w:val="000000"/>
          <w:sz w:val="32"/>
          <w:rtl/>
          <w:lang w:val="fr-FR" w:bidi="ar-DZ"/>
        </w:rPr>
        <w:footnoteReference w:id="3"/>
      </w:r>
    </w:p>
    <w:p w:rsidR="00856833" w:rsidRDefault="00856833" w:rsidP="00856833">
      <w:pPr>
        <w:spacing w:after="200"/>
        <w:jc w:val="both"/>
        <w:rPr>
          <w:rFonts w:ascii="Simplified Arabic" w:hAnsi="Simplified Arabic"/>
          <w:b/>
          <w:sz w:val="32"/>
          <w:rtl/>
          <w:lang w:val="fr-FR" w:bidi="ar-DZ"/>
        </w:rPr>
      </w:pPr>
      <w:r w:rsidRPr="0098300D">
        <w:rPr>
          <w:rFonts w:ascii="Simplified Arabic" w:hAnsi="Simplified Arabic" w:hint="cs"/>
          <w:b/>
          <w:sz w:val="32"/>
          <w:rtl/>
          <w:lang w:val="fr-FR" w:bidi="ar-DZ"/>
        </w:rPr>
        <w:t>وقد ظهر</w:t>
      </w:r>
      <w:r>
        <w:rPr>
          <w:rFonts w:ascii="Simplified Arabic" w:hAnsi="Simplified Arabic" w:hint="cs"/>
          <w:b/>
          <w:sz w:val="32"/>
          <w:rtl/>
          <w:lang w:val="fr-FR" w:bidi="ar-DZ"/>
        </w:rPr>
        <w:t>ت هذه الحركة النقدية</w:t>
      </w:r>
      <w:r w:rsidRPr="0098300D">
        <w:rPr>
          <w:rFonts w:ascii="Simplified Arabic" w:hAnsi="Simplified Arabic" w:hint="cs"/>
          <w:b/>
          <w:sz w:val="32"/>
          <w:rtl/>
          <w:lang w:val="fr-FR" w:bidi="ar-DZ"/>
        </w:rPr>
        <w:t xml:space="preserve"> على</w:t>
      </w:r>
      <w:r>
        <w:rPr>
          <w:rFonts w:ascii="Simplified Arabic" w:hAnsi="Simplified Arabic" w:hint="cs"/>
          <w:b/>
          <w:sz w:val="32"/>
          <w:rtl/>
          <w:lang w:val="fr-FR" w:bidi="ar-DZ"/>
        </w:rPr>
        <w:t xml:space="preserve"> يدي مجموعة من النقاد اتخذوا من الجامعة الأمريكية وجامعات الجنوب الأمريكي تحديدا مركزا لها،في سياق مواجهة بعض الاتجاهات الوجدانية الذاتية"الانطباعية" و"التاريخية"التي ظلت لوقت طويل من الزمن مسيطرة على تأويل النص</w:t>
      </w:r>
    </w:p>
    <w:p w:rsidR="00856833" w:rsidRPr="00AD51F1" w:rsidRDefault="00856833" w:rsidP="00856833">
      <w:pPr>
        <w:spacing w:after="200"/>
        <w:jc w:val="both"/>
        <w:rPr>
          <w:rFonts w:ascii="Simplified Arabic" w:hAnsi="Simplified Arabic"/>
          <w:bCs/>
          <w:sz w:val="32"/>
          <w:rtl/>
          <w:lang w:val="fr-FR" w:bidi="ar-DZ"/>
        </w:rPr>
      </w:pPr>
      <w:r>
        <w:rPr>
          <w:rFonts w:ascii="Simplified Arabic" w:hAnsi="Simplified Arabic" w:hint="cs"/>
          <w:b/>
          <w:sz w:val="32"/>
          <w:rtl/>
          <w:lang w:val="fr-FR" w:bidi="ar-DZ"/>
        </w:rPr>
        <w:t xml:space="preserve">ومن أبرز نقادها:الناقد </w:t>
      </w:r>
      <w:r w:rsidRPr="00AD51F1">
        <w:rPr>
          <w:rFonts w:ascii="Simplified Arabic" w:hAnsi="Simplified Arabic" w:hint="cs"/>
          <w:bCs/>
          <w:sz w:val="32"/>
          <w:rtl/>
          <w:lang w:val="fr-FR" w:bidi="ar-DZ"/>
        </w:rPr>
        <w:t>كلينث بروكس</w:t>
      </w:r>
      <w:r>
        <w:rPr>
          <w:rFonts w:ascii="Simplified Arabic" w:hAnsi="Simplified Arabic" w:hint="cs"/>
          <w:b/>
          <w:sz w:val="32"/>
          <w:rtl/>
          <w:lang w:val="fr-FR" w:bidi="ar-DZ"/>
        </w:rPr>
        <w:t>،</w:t>
      </w:r>
      <w:r>
        <w:rPr>
          <w:rFonts w:ascii="Simplified Arabic" w:hAnsi="Simplified Arabic" w:hint="cs"/>
          <w:bCs/>
          <w:sz w:val="32"/>
          <w:rtl/>
          <w:lang w:val="fr-FR" w:bidi="ar-DZ"/>
        </w:rPr>
        <w:t xml:space="preserve"> روبرت بن وارن، جون كرو رانسوم،ميريل مور،</w:t>
      </w:r>
      <w:r>
        <w:rPr>
          <w:rFonts w:ascii="Simplified Arabic" w:hAnsi="Simplified Arabic" w:hint="cs"/>
          <w:b/>
          <w:sz w:val="32"/>
          <w:rtl/>
          <w:lang w:val="fr-FR" w:bidi="ar-DZ"/>
        </w:rPr>
        <w:t xml:space="preserve"> وفي أنجلترا</w:t>
      </w:r>
      <w:r>
        <w:rPr>
          <w:rFonts w:ascii="Simplified Arabic" w:hAnsi="Simplified Arabic" w:hint="cs"/>
          <w:bCs/>
          <w:sz w:val="32"/>
          <w:rtl/>
          <w:lang w:val="fr-FR" w:bidi="ar-DZ"/>
        </w:rPr>
        <w:t xml:space="preserve"> ريتشاردز، وتلميذه وليام أمبسون.</w:t>
      </w:r>
    </w:p>
    <w:p w:rsidR="00856833" w:rsidRDefault="00856833" w:rsidP="00856833">
      <w:pPr>
        <w:spacing w:after="200"/>
        <w:rPr>
          <w:rFonts w:ascii="Simplified Arabic" w:hAnsi="Simplified Arabic"/>
          <w:color w:val="000000"/>
          <w:sz w:val="32"/>
          <w:rtl/>
        </w:rPr>
      </w:pPr>
      <w:r>
        <w:rPr>
          <w:rStyle w:val="fontstyle01"/>
          <w:rFonts w:ascii="Simplified Arabic" w:hAnsi="Simplified Arabic" w:hint="cs"/>
          <w:sz w:val="32"/>
          <w:rtl/>
        </w:rPr>
        <w:t xml:space="preserve">ولم تنطلق نشأة النقد الجديد من فراغ، فهي </w:t>
      </w:r>
      <w:r w:rsidRPr="00C31E06">
        <w:rPr>
          <w:rStyle w:val="fontstyle01"/>
          <w:rFonts w:ascii="Simplified Arabic" w:hAnsi="Simplified Arabic"/>
          <w:sz w:val="32"/>
          <w:rtl/>
        </w:rPr>
        <w:t>امتداد للفلسفة التجریبیة المادیة الغربیة، وتمرد علیها في آن واحد ؛أي الدعوة إلى الأخذ بالمنهج العلمي ورفض المادیة، وهو أیضا ثورة على الرومانسیة التي تركز على الذات أي الأنا، لأن النقد الذي یدعو إلیه النقد الجدید هو داخل النص، داخل الإبداع، وهو بعید عن ذات المبدع والمتلقي، باستثناء ریتشارد</w:t>
      </w:r>
      <w:r>
        <w:rPr>
          <w:rStyle w:val="fontstyle01"/>
          <w:rFonts w:ascii="Simplified Arabic" w:hAnsi="Simplified Arabic" w:hint="cs"/>
          <w:sz w:val="32"/>
          <w:rtl/>
        </w:rPr>
        <w:t xml:space="preserve"> </w:t>
      </w:r>
      <w:r w:rsidRPr="00C31E06">
        <w:rPr>
          <w:rStyle w:val="fontstyle01"/>
          <w:rFonts w:ascii="Simplified Arabic" w:hAnsi="Simplified Arabic"/>
          <w:sz w:val="32"/>
          <w:rtl/>
        </w:rPr>
        <w:t xml:space="preserve">یهتم بذات المبدع، متأثرا بإنجازات علم النفس الباهرة آنذاك نظریات </w:t>
      </w:r>
      <w:r w:rsidRPr="00C31E06">
        <w:rPr>
          <w:rStyle w:val="fontstyle01"/>
          <w:rFonts w:ascii="Simplified Arabic" w:hAnsi="Simplified Arabic"/>
          <w:sz w:val="32"/>
          <w:rtl/>
        </w:rPr>
        <w:lastRenderedPageBreak/>
        <w:t>فروید، وهم یعنون بالتجربة</w:t>
      </w:r>
      <w:r>
        <w:rPr>
          <w:rStyle w:val="fontstyle01"/>
          <w:rFonts w:ascii="Simplified Arabic" w:hAnsi="Simplified Arabic" w:hint="cs"/>
          <w:sz w:val="32"/>
          <w:rtl/>
        </w:rPr>
        <w:t xml:space="preserve"> </w:t>
      </w:r>
      <w:r w:rsidRPr="00C31E06">
        <w:rPr>
          <w:rFonts w:ascii="Simplified Arabic" w:hAnsi="Simplified Arabic"/>
          <w:color w:val="000000"/>
          <w:sz w:val="32"/>
          <w:rtl/>
        </w:rPr>
        <w:t>الإنسانیة سواء أكانت نابعة من الأرشیف الذهني للشاعر أم عن طریق الإدراك الحسي.</w:t>
      </w:r>
    </w:p>
    <w:p w:rsidR="00856833" w:rsidRDefault="00856833" w:rsidP="00856833">
      <w:pPr>
        <w:spacing w:after="200"/>
        <w:rPr>
          <w:rFonts w:ascii="Simplified Arabic" w:hAnsi="Simplified Arabic"/>
          <w:sz w:val="32"/>
          <w:rtl/>
          <w:lang w:bidi="ar-DZ"/>
        </w:rPr>
      </w:pPr>
      <w:r w:rsidRPr="00C31E06">
        <w:rPr>
          <w:rFonts w:ascii="Simplified Arabic" w:hAnsi="Simplified Arabic" w:hint="cs"/>
          <w:color w:val="000000"/>
          <w:sz w:val="32"/>
          <w:rtl/>
        </w:rPr>
        <w:t xml:space="preserve">لقد ركز النقاد الجدد على البنية الداخلية للنص وردوا الاعتبار للقراءة النصية،محاولين بذلك الوقوف على البنية الفنية والجمالية للنص،فهم يرون العمل الأدبي تحفة فنية ووحدة منسجمة،ومحاولتهم عزل النص عن كل ماهو خارجي والاهتمام بالتأويل المحايث له. </w:t>
      </w:r>
      <w:r w:rsidRPr="00C31E06">
        <w:rPr>
          <w:rFonts w:ascii="Simplified Arabic" w:hAnsi="Simplified Arabic"/>
          <w:color w:val="000000"/>
          <w:sz w:val="32"/>
        </w:rPr>
        <w:br/>
      </w:r>
      <w:r w:rsidRPr="00C31E06">
        <w:rPr>
          <w:rFonts w:ascii="Simplified Arabic" w:hAnsi="Simplified Arabic" w:hint="cs"/>
          <w:sz w:val="32"/>
          <w:rtl/>
          <w:lang w:bidi="ar-DZ"/>
        </w:rPr>
        <w:t>ونفهم من هذا كله أن النقاد الجدد</w:t>
      </w:r>
      <w:r>
        <w:rPr>
          <w:rFonts w:ascii="Simplified Arabic" w:hAnsi="Simplified Arabic" w:hint="cs"/>
          <w:sz w:val="32"/>
          <w:rtl/>
          <w:lang w:bidi="ar-DZ"/>
        </w:rPr>
        <w:t xml:space="preserve"> قد اهتموا بالقيمة الجمالية للنص من خلال التركيز على البنية النصية والوظيفية الانفعالية للغة.</w:t>
      </w:r>
    </w:p>
    <w:p w:rsidR="00856833" w:rsidRDefault="00856833" w:rsidP="00856833">
      <w:pPr>
        <w:spacing w:after="200"/>
        <w:rPr>
          <w:rFonts w:ascii="SimplifiedArabic" w:hAnsi="SimplifiedArabic"/>
          <w:color w:val="000000"/>
          <w:sz w:val="32"/>
          <w:rtl/>
        </w:rPr>
      </w:pPr>
      <w:r>
        <w:rPr>
          <w:rFonts w:ascii="Simplified Arabic" w:hAnsi="Simplified Arabic" w:hint="cs"/>
          <w:sz w:val="32"/>
          <w:rtl/>
          <w:lang w:bidi="ar-DZ"/>
        </w:rPr>
        <w:t xml:space="preserve">وفي ستينيات القرن الماضي ظهر شكل جديد من النقد الجديد في فرنسا،سمي النقد الجديد الفرنسي </w:t>
      </w:r>
      <w:r w:rsidRPr="00C31E06">
        <w:rPr>
          <w:rFonts w:ascii="SimplifiedArabic" w:hAnsi="SimplifiedArabic"/>
          <w:color w:val="000000"/>
          <w:sz w:val="32"/>
        </w:rPr>
        <w:t>nouvelle critique</w:t>
      </w:r>
      <w:r>
        <w:rPr>
          <w:rFonts w:ascii="SimplifiedArabic" w:hAnsi="SimplifiedArabic" w:hint="cs"/>
          <w:color w:val="000000"/>
          <w:sz w:val="32"/>
          <w:rtl/>
        </w:rPr>
        <w:t xml:space="preserve"> على يدي مجموعة من النقاد من أمثال:جورج بوليه،رولان بارت، على إثر السجالات التي دارت بين أنصار النقد التقليدي والحداثي، وبداية هذا السجال والتنافس مع كتاب رولان بارت"تاريخ أم أدب" حول راسين عام1963،وهكذا فقد تواتر مصطلح النقد الجديد من غير دلالته الأنجلو سكسونية ليكون عنوانا للمناهج النسقية الجديدة "بنيوية،سيميائية،موضوعاتية..." التي هيمنت على الساحة النقدية الفرنسية منذ ستينات القرن الماضي.</w:t>
      </w:r>
      <w:r>
        <w:rPr>
          <w:rStyle w:val="a4"/>
          <w:rFonts w:ascii="SimplifiedArabic" w:hAnsi="SimplifiedArabic"/>
          <w:color w:val="000000"/>
          <w:sz w:val="32"/>
          <w:rtl/>
        </w:rPr>
        <w:footnoteReference w:id="4"/>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وإذا ما قارننا النقدين الفرنسي والأنجلو أمريكي من حيث الانسجام والترابط فإننا نجد أن النقد الفرنسي الجديد أكثر انسجاما وترابطا من نظيره الأنجلوأمريكي، وذلك لتأثره بالأفكار اللسانية السوسيرية والشكلانية الروسية.</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وما نصل إليه في نهاية الأمر أن من بين الخصائص التي يقوم عليها النقد الجديد نذكر:</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دراسة النص الأدبي بمعزل عن سياقه الذي ورد فيه،فعند تأويل النص لابد من الانطلاق من النص والعودة إليه.</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الاهتمام بالقراءة الفاحصة للنص  وتهتم بمعجم النص وتراكيبه اللغوية والبلاغية.</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الاهتمام بالطبيعة العضوية للنص باعتباره وحدة عضوية متجانسة العناصر.</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lastRenderedPageBreak/>
        <w:t>الاهتمام بالتحليل العلمي للنص وعدم اطلاق الأحكام.</w:t>
      </w:r>
    </w:p>
    <w:p w:rsidR="00856833" w:rsidRPr="00C31E06" w:rsidRDefault="00856833" w:rsidP="00856833">
      <w:pPr>
        <w:spacing w:after="200"/>
        <w:rPr>
          <w:rFonts w:ascii="Simplified Arabic" w:hAnsi="Simplified Arabic"/>
          <w:sz w:val="32"/>
          <w:rtl/>
          <w:lang w:bidi="ar-DZ"/>
        </w:rPr>
      </w:pPr>
      <w:r>
        <w:rPr>
          <w:rFonts w:ascii="SimplifiedArabic" w:hAnsi="SimplifiedArabic" w:hint="cs"/>
          <w:color w:val="000000"/>
          <w:sz w:val="32"/>
          <w:rtl/>
        </w:rPr>
        <w:t>نبذ الالتزام ورفض استخدام الادب وسيلة لغاية رسالية معينة اجتماعية سياسية...</w:t>
      </w:r>
      <w:r>
        <w:rPr>
          <w:rStyle w:val="a4"/>
          <w:rFonts w:ascii="SimplifiedArabic" w:hAnsi="SimplifiedArabic"/>
          <w:color w:val="000000"/>
          <w:sz w:val="32"/>
          <w:rtl/>
        </w:rPr>
        <w:footnoteReference w:id="5"/>
      </w:r>
    </w:p>
    <w:p w:rsidR="00856833" w:rsidRDefault="00856833" w:rsidP="00856833">
      <w:pPr>
        <w:rPr>
          <w:rFonts w:ascii="Simplified Arabic" w:hAnsi="Simplified Arabic"/>
          <w:sz w:val="32"/>
          <w:rtl/>
          <w:lang w:val="fr-FR" w:bidi="ar-DZ"/>
        </w:rPr>
      </w:pPr>
      <w:r>
        <w:rPr>
          <w:rFonts w:ascii="Simplified Arabic" w:hAnsi="Simplified Arabic" w:hint="cs"/>
          <w:sz w:val="32"/>
          <w:rtl/>
          <w:lang w:val="fr-FR" w:bidi="ar-DZ"/>
        </w:rPr>
        <w:t xml:space="preserve">وما يمكن أن يقال في الأخير إن الارهاصات الأولى لنشأة البنيوية هي أنها قامت </w:t>
      </w:r>
      <w:r w:rsidRPr="005D7248">
        <w:rPr>
          <w:rFonts w:ascii="Simplified Arabic" w:hAnsi="Simplified Arabic"/>
          <w:sz w:val="32"/>
          <w:rtl/>
          <w:lang w:val="fr-FR" w:bidi="ar-DZ"/>
        </w:rPr>
        <w:t xml:space="preserve">على أنقاض الشكلية الروسية أو هي الوجه الآخر للشكلانية، </w:t>
      </w:r>
      <w:r>
        <w:rPr>
          <w:rFonts w:ascii="Simplified Arabic" w:hAnsi="Simplified Arabic" w:hint="cs"/>
          <w:sz w:val="32"/>
          <w:rtl/>
          <w:lang w:val="fr-FR" w:bidi="ar-DZ"/>
        </w:rPr>
        <w:t>أ</w:t>
      </w:r>
      <w:r w:rsidRPr="005D7248">
        <w:rPr>
          <w:rFonts w:ascii="Simplified Arabic" w:hAnsi="Simplified Arabic"/>
          <w:sz w:val="32"/>
          <w:rtl/>
          <w:lang w:val="fr-FR" w:bidi="ar-DZ"/>
        </w:rPr>
        <w:t xml:space="preserve">ويمكن </w:t>
      </w:r>
      <w:r>
        <w:rPr>
          <w:rFonts w:ascii="Simplified Arabic" w:hAnsi="Simplified Arabic" w:hint="cs"/>
          <w:sz w:val="32"/>
          <w:rtl/>
          <w:lang w:val="fr-FR" w:bidi="ar-DZ"/>
        </w:rPr>
        <w:t>أن ن</w:t>
      </w:r>
      <w:r w:rsidRPr="005D7248">
        <w:rPr>
          <w:rFonts w:ascii="Simplified Arabic" w:hAnsi="Simplified Arabic"/>
          <w:sz w:val="32"/>
          <w:rtl/>
          <w:lang w:val="fr-FR" w:bidi="ar-DZ"/>
        </w:rPr>
        <w:t>قول بأنها نسخة مطورة من الشكلانية الروسية لاشتراكهما في الحماس للمنهج العلمي التجريبي، أو بعبارة أخرى هي النتيجة النهائية للتنظير الشكلاني، ولشدة ارتباط الشكلانية بالمنهج البنيوي نعتت الشكلانية بالبنيوية الروسية.</w:t>
      </w:r>
    </w:p>
    <w:p w:rsidR="00856833" w:rsidRPr="009D6E69" w:rsidRDefault="00856833" w:rsidP="00856833">
      <w:pPr>
        <w:jc w:val="left"/>
        <w:rPr>
          <w:rFonts w:ascii="TraditionalArabicOOEnc" w:hAnsi="TraditionalArabicOOEnc"/>
          <w:color w:val="000000"/>
          <w:sz w:val="34"/>
          <w:rtl/>
        </w:rPr>
      </w:pPr>
      <w:r w:rsidRPr="009D6E69">
        <w:rPr>
          <w:rFonts w:ascii="TraditionalArabicOOEnc" w:hAnsi="TraditionalArabicOOEnc" w:hint="cs"/>
          <w:color w:val="000000"/>
          <w:sz w:val="34"/>
          <w:rtl/>
        </w:rPr>
        <w:t xml:space="preserve">وقد </w:t>
      </w:r>
      <w:r w:rsidRPr="009D6E69">
        <w:rPr>
          <w:rFonts w:ascii="TraditionalArabicOOEnc" w:hAnsi="TraditionalArabicOOEnc"/>
          <w:color w:val="000000"/>
          <w:sz w:val="34"/>
          <w:rtl/>
        </w:rPr>
        <w:t>لمع بريق</w:t>
      </w:r>
      <w:r w:rsidRPr="009D6E69">
        <w:rPr>
          <w:rFonts w:ascii="TraditionalArabicOOEnc" w:hAnsi="TraditionalArabicOOEnc" w:hint="cs"/>
          <w:color w:val="000000"/>
          <w:sz w:val="34"/>
          <w:rtl/>
        </w:rPr>
        <w:t xml:space="preserve"> البنيوية</w:t>
      </w:r>
      <w:r w:rsidRPr="009D6E69">
        <w:rPr>
          <w:rFonts w:ascii="TraditionalArabicOOEnc" w:hAnsi="TraditionalArabicOOEnc"/>
          <w:color w:val="000000"/>
          <w:sz w:val="34"/>
          <w:rtl/>
        </w:rPr>
        <w:t xml:space="preserve"> في فترة الستينات من القرن</w:t>
      </w:r>
      <w:r w:rsidRPr="009D6E69">
        <w:rPr>
          <w:rFonts w:ascii="TraditionalArabicOOEnc" w:hAnsi="TraditionalArabicOOEnc" w:hint="cs"/>
          <w:color w:val="000000"/>
          <w:sz w:val="34"/>
          <w:rtl/>
        </w:rPr>
        <w:t xml:space="preserve"> </w:t>
      </w:r>
      <w:r w:rsidRPr="009D6E69">
        <w:rPr>
          <w:rFonts w:ascii="TraditionalArabicOOEnc" w:hAnsi="TraditionalArabicOOEnc"/>
          <w:color w:val="000000"/>
          <w:sz w:val="34"/>
          <w:rtl/>
        </w:rPr>
        <w:t>العشرين،</w:t>
      </w:r>
      <w:r w:rsidRPr="009D6E69">
        <w:rPr>
          <w:rFonts w:ascii="TraditionalArabicOOEnc" w:hAnsi="TraditionalArabicOOEnc" w:hint="cs"/>
          <w:color w:val="000000"/>
          <w:sz w:val="34"/>
          <w:rtl/>
        </w:rPr>
        <w:t>حيث</w:t>
      </w:r>
      <w:r w:rsidRPr="009D6E69">
        <w:rPr>
          <w:rFonts w:ascii="TraditionalArabicOOEnc" w:hAnsi="TraditionalArabicOOEnc"/>
          <w:color w:val="000000"/>
          <w:sz w:val="34"/>
          <w:rtl/>
        </w:rPr>
        <w:t xml:space="preserve"> شهد</w:t>
      </w:r>
      <w:r w:rsidRPr="009D6E69">
        <w:rPr>
          <w:rFonts w:ascii="TraditionalArabicOOEnc" w:hAnsi="TraditionalArabicOOEnc" w:hint="cs"/>
          <w:color w:val="000000"/>
          <w:sz w:val="34"/>
          <w:rtl/>
        </w:rPr>
        <w:t xml:space="preserve">ت تهافت </w:t>
      </w:r>
      <w:r w:rsidRPr="009D6E69">
        <w:rPr>
          <w:rFonts w:ascii="TraditionalArabicOOEnc" w:hAnsi="TraditionalArabicOOEnc"/>
          <w:color w:val="000000"/>
          <w:sz w:val="34"/>
          <w:rtl/>
        </w:rPr>
        <w:t>النقاد حوله</w:t>
      </w:r>
      <w:r w:rsidRPr="009D6E69">
        <w:rPr>
          <w:rFonts w:ascii="TraditionalArabicOOEnc" w:hAnsi="TraditionalArabicOOEnc" w:hint="cs"/>
          <w:color w:val="000000"/>
          <w:sz w:val="34"/>
          <w:rtl/>
        </w:rPr>
        <w:t>ا</w:t>
      </w:r>
      <w:r w:rsidRPr="009D6E69">
        <w:rPr>
          <w:rFonts w:ascii="TraditionalArabicOOEnc" w:hAnsi="TraditionalArabicOOEnc"/>
          <w:color w:val="000000"/>
          <w:sz w:val="34"/>
          <w:rtl/>
        </w:rPr>
        <w:t xml:space="preserve"> لما شهدوه من عجز المناهج الأخرى، ولاسيما الوجودية التي</w:t>
      </w:r>
      <w:r w:rsidRPr="009D6E69">
        <w:rPr>
          <w:rFonts w:ascii="TraditionalArabicOOEnc" w:hAnsi="TraditionalArabicOOEnc" w:hint="cs"/>
          <w:color w:val="000000"/>
          <w:sz w:val="34"/>
          <w:rtl/>
        </w:rPr>
        <w:t xml:space="preserve"> </w:t>
      </w:r>
      <w:r w:rsidRPr="009D6E69">
        <w:rPr>
          <w:rFonts w:ascii="TraditionalArabicOOEnc" w:hAnsi="TraditionalArabicOOEnc"/>
          <w:color w:val="000000"/>
          <w:sz w:val="34"/>
          <w:rtl/>
        </w:rPr>
        <w:t>تزامن أفولها مع بروز البنيوية</w:t>
      </w:r>
      <w:r w:rsidRPr="009D6E69">
        <w:rPr>
          <w:rFonts w:ascii="TraditionalArabicOOEnc" w:hAnsi="TraditionalArabicOOEnc" w:hint="cs"/>
          <w:color w:val="000000"/>
          <w:sz w:val="34"/>
          <w:rtl/>
        </w:rPr>
        <w:t>.</w:t>
      </w:r>
    </w:p>
    <w:p w:rsidR="00856833" w:rsidRDefault="00856833" w:rsidP="00856833">
      <w:pPr>
        <w:jc w:val="left"/>
        <w:rPr>
          <w:rFonts w:ascii="TraditionalArabicOOEnc" w:hAnsi="TraditionalArabicOOEnc"/>
          <w:color w:val="000000"/>
          <w:sz w:val="34"/>
          <w:rtl/>
        </w:rPr>
      </w:pPr>
      <w:r w:rsidRPr="009D6E69">
        <w:rPr>
          <w:rFonts w:ascii="TraditionalArabicOOEnc" w:hAnsi="TraditionalArabicOOEnc"/>
          <w:color w:val="000000"/>
          <w:sz w:val="34"/>
          <w:rtl/>
        </w:rPr>
        <w:t>فالبنيوي</w:t>
      </w:r>
      <w:r w:rsidRPr="009D6E69">
        <w:rPr>
          <w:rFonts w:ascii="TraditionalArabicOOEnc" w:hAnsi="TraditionalArabicOOEnc" w:hint="cs"/>
          <w:color w:val="000000"/>
          <w:sz w:val="34"/>
          <w:rtl/>
        </w:rPr>
        <w:t>ة</w:t>
      </w:r>
      <w:r w:rsidRPr="009D6E69">
        <w:rPr>
          <w:rFonts w:ascii="TraditionalArabicOOEnc" w:hAnsi="TraditionalArabicOOEnc"/>
          <w:color w:val="000000"/>
          <w:sz w:val="34"/>
          <w:rtl/>
        </w:rPr>
        <w:t xml:space="preserve"> رفض</w:t>
      </w:r>
      <w:r w:rsidRPr="009D6E69">
        <w:rPr>
          <w:rFonts w:ascii="TraditionalArabicOOEnc" w:hAnsi="TraditionalArabicOOEnc" w:hint="cs"/>
          <w:color w:val="000000"/>
          <w:sz w:val="34"/>
          <w:rtl/>
        </w:rPr>
        <w:t>ت</w:t>
      </w:r>
      <w:r w:rsidRPr="009D6E69">
        <w:rPr>
          <w:rFonts w:ascii="TraditionalArabicOOEnc" w:hAnsi="TraditionalArabicOOEnc"/>
          <w:color w:val="000000"/>
          <w:sz w:val="34"/>
          <w:rtl/>
        </w:rPr>
        <w:t xml:space="preserve"> المناهج التي تواجدت سابقا لاختلاف منطلقاته</w:t>
      </w:r>
      <w:r w:rsidRPr="009D6E69">
        <w:rPr>
          <w:rFonts w:ascii="TraditionalArabicOOEnc" w:hAnsi="TraditionalArabicOOEnc" w:hint="cs"/>
          <w:color w:val="000000"/>
          <w:sz w:val="34"/>
          <w:rtl/>
        </w:rPr>
        <w:t>ا</w:t>
      </w:r>
      <w:r w:rsidRPr="009D6E69">
        <w:rPr>
          <w:rFonts w:ascii="TraditionalArabicOOEnc" w:hAnsi="TraditionalArabicOOEnc"/>
          <w:color w:val="000000"/>
          <w:sz w:val="34"/>
          <w:rtl/>
        </w:rPr>
        <w:t xml:space="preserve"> وتوجهاته</w:t>
      </w:r>
      <w:r w:rsidRPr="009D6E69">
        <w:rPr>
          <w:rFonts w:ascii="TraditionalArabicOOEnc" w:hAnsi="TraditionalArabicOOEnc" w:hint="cs"/>
          <w:color w:val="000000"/>
          <w:sz w:val="34"/>
          <w:rtl/>
        </w:rPr>
        <w:t xml:space="preserve">ا </w:t>
      </w:r>
      <w:r w:rsidRPr="009D6E69">
        <w:rPr>
          <w:rFonts w:ascii="TraditionalArabicOOEnc" w:hAnsi="TraditionalArabicOOEnc"/>
          <w:color w:val="000000"/>
          <w:sz w:val="34"/>
          <w:rtl/>
        </w:rPr>
        <w:t>وأهدافه</w:t>
      </w:r>
      <w:r w:rsidRPr="009D6E69">
        <w:rPr>
          <w:rFonts w:ascii="TraditionalArabicOOEnc" w:hAnsi="TraditionalArabicOOEnc" w:hint="cs"/>
          <w:color w:val="000000"/>
          <w:sz w:val="34"/>
          <w:rtl/>
        </w:rPr>
        <w:t>ا</w:t>
      </w:r>
      <w:r w:rsidRPr="009D6E69">
        <w:rPr>
          <w:rFonts w:ascii="TraditionalArabicOOEnc" w:hAnsi="TraditionalArabicOOEnc"/>
          <w:color w:val="000000"/>
          <w:sz w:val="34"/>
          <w:rtl/>
        </w:rPr>
        <w:t>، كما رفض</w:t>
      </w:r>
      <w:r>
        <w:rPr>
          <w:rFonts w:ascii="TraditionalArabicOOEnc" w:hAnsi="TraditionalArabicOOEnc" w:hint="cs"/>
          <w:color w:val="000000"/>
          <w:sz w:val="34"/>
          <w:rtl/>
        </w:rPr>
        <w:t>ت</w:t>
      </w:r>
      <w:r w:rsidRPr="009D6E69">
        <w:rPr>
          <w:rFonts w:ascii="TraditionalArabicOOEnc" w:hAnsi="TraditionalArabicOOEnc"/>
          <w:color w:val="000000"/>
          <w:sz w:val="34"/>
          <w:rtl/>
        </w:rPr>
        <w:t xml:space="preserve"> في تعامله</w:t>
      </w:r>
      <w:r>
        <w:rPr>
          <w:rFonts w:ascii="TraditionalArabicOOEnc" w:hAnsi="TraditionalArabicOOEnc" w:hint="cs"/>
          <w:color w:val="000000"/>
          <w:sz w:val="34"/>
          <w:rtl/>
        </w:rPr>
        <w:t>ا</w:t>
      </w:r>
      <w:r w:rsidRPr="009D6E69">
        <w:rPr>
          <w:rFonts w:ascii="TraditionalArabicOOEnc" w:hAnsi="TraditionalArabicOOEnc"/>
          <w:color w:val="000000"/>
          <w:sz w:val="34"/>
          <w:rtl/>
        </w:rPr>
        <w:t xml:space="preserve"> مع النصوص الإبداعية كل الجوانب الخارجية ، ولاسيما </w:t>
      </w:r>
      <w:r>
        <w:rPr>
          <w:rFonts w:ascii="TraditionalArabicOOEnc" w:hAnsi="TraditionalArabicOOEnc" w:hint="cs"/>
          <w:color w:val="000000"/>
          <w:sz w:val="34"/>
          <w:rtl/>
        </w:rPr>
        <w:t xml:space="preserve">المنهج </w:t>
      </w:r>
      <w:r w:rsidRPr="009D6E69">
        <w:rPr>
          <w:rFonts w:ascii="TraditionalArabicOOEnc" w:hAnsi="TraditionalArabicOOEnc"/>
          <w:color w:val="000000"/>
          <w:sz w:val="34"/>
          <w:rtl/>
        </w:rPr>
        <w:t>التاريخ</w:t>
      </w:r>
      <w:r>
        <w:rPr>
          <w:rFonts w:ascii="TraditionalArabicOOEnc" w:hAnsi="TraditionalArabicOOEnc" w:hint="cs"/>
          <w:color w:val="000000"/>
          <w:sz w:val="34"/>
          <w:rtl/>
        </w:rPr>
        <w:t>ي الذي ظل لفترة من الزمن وهو المسيطر في تحليل النصوص.</w:t>
      </w:r>
    </w:p>
    <w:p w:rsidR="00856833" w:rsidRDefault="00856833" w:rsidP="00856833">
      <w:pPr>
        <w:jc w:val="left"/>
        <w:rPr>
          <w:rFonts w:ascii="TraditionalArabicOOEnc" w:hAnsi="TraditionalArabicOOEnc"/>
          <w:color w:val="000000"/>
          <w:sz w:val="34"/>
          <w:rtl/>
        </w:rPr>
      </w:pPr>
      <w:r>
        <w:rPr>
          <w:rFonts w:ascii="TraditionalArabicOOEnc" w:hAnsi="TraditionalArabicOOEnc" w:hint="cs"/>
          <w:color w:val="000000"/>
          <w:sz w:val="34"/>
          <w:rtl/>
        </w:rPr>
        <w:t>كما يرى صلاح فضل أن الفكر البنيوي لم ينطبق من فراغ وإنما كانت له ارهاصات في النصف الأول من القرن العشرين،وقد كانت أفكار العالم اللغوي" فردينان دي سوسير" هي المنطلق لهذا التوجه.</w:t>
      </w:r>
    </w:p>
    <w:p w:rsidR="003B1A6D" w:rsidRDefault="003B1A6D"/>
    <w:sectPr w:rsidR="003B1A6D" w:rsidSect="00856833">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787" w:rsidRDefault="00E81787" w:rsidP="00856833">
      <w:r>
        <w:separator/>
      </w:r>
    </w:p>
  </w:endnote>
  <w:endnote w:type="continuationSeparator" w:id="1">
    <w:p w:rsidR="00E81787" w:rsidRDefault="00E81787" w:rsidP="008568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raditionalArabicOOEn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787" w:rsidRDefault="00E81787" w:rsidP="00856833">
      <w:r>
        <w:separator/>
      </w:r>
    </w:p>
  </w:footnote>
  <w:footnote w:type="continuationSeparator" w:id="1">
    <w:p w:rsidR="00E81787" w:rsidRDefault="00E81787" w:rsidP="00856833">
      <w:r>
        <w:continuationSeparator/>
      </w:r>
    </w:p>
  </w:footnote>
  <w:footnote w:id="2">
    <w:p w:rsidR="00856833" w:rsidRPr="00564C50" w:rsidRDefault="00856833" w:rsidP="00856833">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يُنظر:محمد عزام:المنهج الموضوعي في النقد الأدبي،منشورات اتحاد الكتاب العرب،دمشق،سوريا،د ط، 1999،ص  ص 61 -62.</w:t>
      </w:r>
    </w:p>
  </w:footnote>
  <w:footnote w:id="3">
    <w:p w:rsidR="00856833" w:rsidRPr="00564C50" w:rsidRDefault="00856833" w:rsidP="00856833">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يُظر:يوسف وغليسي: مناهج النقد الأدبي ،دار جسور،الجزائر،ط1، 2007،ص49.</w:t>
      </w:r>
    </w:p>
  </w:footnote>
  <w:footnote w:id="4">
    <w:p w:rsidR="00856833" w:rsidRPr="00564C50" w:rsidRDefault="00856833" w:rsidP="00856833">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يُظر:يوسف وغليسي: مناهج النقد الأدبي ،ص ص49ــــ 50.</w:t>
      </w:r>
    </w:p>
  </w:footnote>
  <w:footnote w:id="5">
    <w:p w:rsidR="00856833" w:rsidRPr="00564C50" w:rsidRDefault="00856833" w:rsidP="00856833">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ينظر:نفس المرجع:ص ص ص 55،54،53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6833"/>
    <w:rsid w:val="001F52F5"/>
    <w:rsid w:val="003B1A6D"/>
    <w:rsid w:val="00856833"/>
    <w:rsid w:val="00C12F81"/>
    <w:rsid w:val="00E81787"/>
    <w:rsid w:val="00E919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33"/>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56833"/>
    <w:rPr>
      <w:rFonts w:eastAsia="Times New Roman" w:cs="Times New Roman"/>
      <w:sz w:val="20"/>
      <w:szCs w:val="20"/>
    </w:rPr>
  </w:style>
  <w:style w:type="character" w:customStyle="1" w:styleId="Char">
    <w:name w:val="نص حاشية سفلية Char"/>
    <w:basedOn w:val="a0"/>
    <w:link w:val="a3"/>
    <w:uiPriority w:val="99"/>
    <w:rsid w:val="00856833"/>
    <w:rPr>
      <w:rFonts w:ascii="Times New Roman" w:eastAsia="Times New Roman" w:hAnsi="Times New Roman" w:cs="Times New Roman"/>
      <w:sz w:val="20"/>
      <w:szCs w:val="20"/>
    </w:rPr>
  </w:style>
  <w:style w:type="character" w:styleId="a4">
    <w:name w:val="footnote reference"/>
    <w:uiPriority w:val="99"/>
    <w:unhideWhenUsed/>
    <w:rsid w:val="00856833"/>
    <w:rPr>
      <w:vertAlign w:val="superscript"/>
    </w:rPr>
  </w:style>
  <w:style w:type="character" w:customStyle="1" w:styleId="fontstyle01">
    <w:name w:val="fontstyle01"/>
    <w:rsid w:val="00856833"/>
    <w:rPr>
      <w:rFonts w:ascii="Traditional Arabic" w:hAnsi="Traditional Arabic" w:cs="Traditional Arabic" w:hint="default"/>
      <w:b w:val="0"/>
      <w:bCs w:val="0"/>
      <w:i w:val="0"/>
      <w:iCs w:val="0"/>
      <w:color w:val="000000"/>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2</cp:revision>
  <dcterms:created xsi:type="dcterms:W3CDTF">2021-01-17T21:20:00Z</dcterms:created>
  <dcterms:modified xsi:type="dcterms:W3CDTF">2021-01-25T05:58:00Z</dcterms:modified>
</cp:coreProperties>
</file>