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0BF" w:rsidRDefault="000740BF" w:rsidP="000740BF">
      <w:pPr>
        <w:spacing w:after="200"/>
        <w:rPr>
          <w:rFonts w:ascii="Simplified Arabic" w:hAnsi="Simplified Arabic" w:hint="cs"/>
          <w:b/>
          <w:sz w:val="32"/>
          <w:rtl/>
          <w:lang w:val="fr-FR" w:bidi="ar-DZ"/>
        </w:rPr>
      </w:pPr>
      <w:r>
        <w:rPr>
          <w:rFonts w:ascii="Simplified Arabic" w:hAnsi="Simplified Arabic" w:hint="cs"/>
          <w:bCs/>
          <w:sz w:val="32"/>
          <w:rtl/>
          <w:lang w:val="fr-FR" w:bidi="ar-DZ"/>
        </w:rPr>
        <w:t>البنيوية في الوطن العربي:</w:t>
      </w:r>
      <w:r w:rsidRPr="00546C1F">
        <w:rPr>
          <w:rFonts w:ascii="Simplified Arabic" w:hAnsi="Simplified Arabic" w:hint="cs"/>
          <w:b/>
          <w:sz w:val="32"/>
          <w:rtl/>
          <w:lang w:val="fr-FR" w:bidi="ar-DZ"/>
        </w:rPr>
        <w:t>وتعتبر سبعينيات القرن الماضي هي بداية ظهور الفكر البنيوي في النقد العربي</w:t>
      </w:r>
      <w:r>
        <w:rPr>
          <w:rFonts w:ascii="Simplified Arabic" w:hAnsi="Simplified Arabic" w:hint="cs"/>
          <w:b/>
          <w:sz w:val="32"/>
          <w:rtl/>
          <w:lang w:val="fr-FR" w:bidi="ar-DZ"/>
        </w:rPr>
        <w:t>.</w:t>
      </w:r>
    </w:p>
    <w:p w:rsidR="000740BF" w:rsidRDefault="000740BF" w:rsidP="000740BF">
      <w:pPr>
        <w:spacing w:after="200"/>
        <w:rPr>
          <w:rFonts w:ascii="TraditionalArabic" w:hAnsi="TraditionalArabic" w:hint="cs"/>
          <w:color w:val="000000"/>
          <w:sz w:val="32"/>
          <w:rtl/>
        </w:rPr>
      </w:pPr>
      <w:r w:rsidRPr="00292714">
        <w:rPr>
          <w:rFonts w:ascii="Simplified Arabic" w:hAnsi="Simplified Arabic" w:hint="cs"/>
          <w:b/>
          <w:sz w:val="32"/>
          <w:rtl/>
          <w:lang w:val="fr-FR" w:bidi="ar-DZ"/>
        </w:rPr>
        <w:t xml:space="preserve">لقد اختلف البنيوين العرب في </w:t>
      </w:r>
      <w:r w:rsidRPr="00292714">
        <w:rPr>
          <w:rFonts w:ascii="TraditionalArabic" w:hAnsi="TraditionalArabic"/>
          <w:color w:val="000000"/>
          <w:sz w:val="32"/>
          <w:rtl/>
        </w:rPr>
        <w:t xml:space="preserve">ترجمة مصطلح </w:t>
      </w:r>
      <w:r w:rsidRPr="00292714">
        <w:rPr>
          <w:rFonts w:ascii="TimesNewRomanPS-BoldMT" w:hAnsi="TimesNewRomanPS-BoldMT"/>
          <w:b/>
          <w:bCs/>
          <w:color w:val="000000"/>
          <w:sz w:val="32"/>
        </w:rPr>
        <w:t>structuralism</w:t>
      </w:r>
      <w:r w:rsidRPr="00292714">
        <w:rPr>
          <w:rFonts w:ascii="TimesNewRomanPS-BoldMT" w:hAnsi="TimesNewRomanPS-BoldMT" w:hint="cs"/>
          <w:b/>
          <w:bCs/>
          <w:color w:val="000000"/>
          <w:sz w:val="32"/>
          <w:rtl/>
        </w:rPr>
        <w:t xml:space="preserve"> </w:t>
      </w:r>
      <w:r w:rsidRPr="00292714">
        <w:rPr>
          <w:rFonts w:ascii="TraditionalArabic" w:hAnsi="TraditionalArabic"/>
          <w:color w:val="000000"/>
          <w:sz w:val="32"/>
          <w:rtl/>
        </w:rPr>
        <w:t>كأي مصطلح جديد يغزو</w:t>
      </w:r>
      <w:r w:rsidRPr="00292714">
        <w:rPr>
          <w:rFonts w:ascii="TraditionalArabic" w:hAnsi="TraditionalArabic" w:hint="cs"/>
          <w:color w:val="000000"/>
          <w:sz w:val="32"/>
          <w:rtl/>
        </w:rPr>
        <w:t xml:space="preserve"> </w:t>
      </w:r>
      <w:r w:rsidRPr="00292714">
        <w:rPr>
          <w:rFonts w:ascii="TraditionalArabic" w:hAnsi="TraditionalArabic"/>
          <w:color w:val="000000"/>
          <w:sz w:val="32"/>
          <w:rtl/>
        </w:rPr>
        <w:t xml:space="preserve">الثقافة العربية، فإذا نحن أمام ما يناهز العشر ترجمات </w:t>
      </w:r>
      <w:r w:rsidRPr="00292714">
        <w:rPr>
          <w:rFonts w:ascii="TraditionalArabic-Bold" w:hAnsi="TraditionalArabic-Bold"/>
          <w:b/>
          <w:bCs/>
          <w:color w:val="000000"/>
          <w:sz w:val="32"/>
        </w:rPr>
        <w:t>)</w:t>
      </w:r>
      <w:r w:rsidRPr="00292714">
        <w:rPr>
          <w:rFonts w:ascii="TraditionalArabic-Bold" w:hAnsi="TraditionalArabic-Bold"/>
          <w:b/>
          <w:bCs/>
          <w:color w:val="000000"/>
          <w:sz w:val="32"/>
          <w:rtl/>
        </w:rPr>
        <w:t>البنيوية، البنوية، البنيية، البنائية، الهيكلية،</w:t>
      </w:r>
      <w:r w:rsidRPr="00292714">
        <w:rPr>
          <w:rFonts w:ascii="TraditionalArabic-Bold" w:hAnsi="TraditionalArabic-Bold" w:hint="cs"/>
          <w:b/>
          <w:bCs/>
          <w:color w:val="000000"/>
          <w:sz w:val="32"/>
          <w:rtl/>
        </w:rPr>
        <w:t xml:space="preserve"> </w:t>
      </w:r>
      <w:r w:rsidRPr="00292714">
        <w:rPr>
          <w:rFonts w:ascii="TraditionalArabic-Bold" w:hAnsi="TraditionalArabic-Bold"/>
          <w:b/>
          <w:bCs/>
          <w:color w:val="000000"/>
          <w:sz w:val="32"/>
          <w:rtl/>
        </w:rPr>
        <w:t>التركيبية، الوظيفية، البنيانية</w:t>
      </w:r>
      <w:r w:rsidRPr="00292714">
        <w:rPr>
          <w:rFonts w:ascii="TraditionalArabic-Bold" w:hAnsi="TraditionalArabic-Bold" w:hint="cs"/>
          <w:b/>
          <w:bCs/>
          <w:color w:val="000000"/>
          <w:sz w:val="32"/>
          <w:rtl/>
        </w:rPr>
        <w:t xml:space="preserve"> </w:t>
      </w:r>
      <w:r w:rsidRPr="00292714">
        <w:rPr>
          <w:rFonts w:ascii="TraditionalArabic" w:hAnsi="TraditionalArabic"/>
          <w:color w:val="000000"/>
          <w:sz w:val="32"/>
        </w:rPr>
        <w:t xml:space="preserve"> (</w:t>
      </w:r>
      <w:r w:rsidRPr="00292714">
        <w:rPr>
          <w:rFonts w:ascii="TraditionalArabic" w:hAnsi="TraditionalArabic" w:hint="cs"/>
          <w:color w:val="000000"/>
          <w:sz w:val="32"/>
          <w:rtl/>
        </w:rPr>
        <w:t xml:space="preserve"> [...]</w:t>
      </w:r>
      <w:r w:rsidRPr="00292714">
        <w:rPr>
          <w:rFonts w:ascii="TraditionalArabic" w:hAnsi="TraditionalArabic"/>
          <w:color w:val="000000"/>
          <w:sz w:val="32"/>
          <w:rtl/>
        </w:rPr>
        <w:t>وقد اختار يوسف وغليسي مصطلح</w:t>
      </w:r>
      <w:r w:rsidRPr="00292714">
        <w:rPr>
          <w:rFonts w:ascii="TraditionalArabic" w:hAnsi="TraditionalArabic" w:hint="cs"/>
          <w:color w:val="000000"/>
          <w:sz w:val="32"/>
          <w:rtl/>
        </w:rPr>
        <w:t xml:space="preserve"> </w:t>
      </w:r>
      <w:r w:rsidRPr="00292714">
        <w:rPr>
          <w:rFonts w:ascii="TraditionalArabic" w:hAnsi="TraditionalArabic"/>
          <w:color w:val="000000"/>
          <w:sz w:val="32"/>
        </w:rPr>
        <w:t>)</w:t>
      </w:r>
      <w:r w:rsidRPr="00292714">
        <w:rPr>
          <w:rFonts w:ascii="TraditionalArabic-Bold" w:hAnsi="TraditionalArabic-Bold"/>
          <w:b/>
          <w:bCs/>
          <w:color w:val="000000"/>
          <w:sz w:val="32"/>
          <w:rtl/>
        </w:rPr>
        <w:t>البنيوية</w:t>
      </w:r>
      <w:r w:rsidRPr="00292714">
        <w:rPr>
          <w:rFonts w:ascii="TraditionalArabic" w:hAnsi="TraditionalArabic"/>
          <w:color w:val="000000"/>
          <w:sz w:val="32"/>
        </w:rPr>
        <w:t>(</w:t>
      </w:r>
      <w:r w:rsidRPr="00292714">
        <w:rPr>
          <w:rFonts w:ascii="TraditionalArabic" w:hAnsi="TraditionalArabic" w:hint="cs"/>
          <w:color w:val="000000"/>
          <w:sz w:val="32"/>
          <w:rtl/>
        </w:rPr>
        <w:t xml:space="preserve"> </w:t>
      </w:r>
      <w:r w:rsidRPr="00292714">
        <w:rPr>
          <w:rFonts w:ascii="TraditionalArabic" w:hAnsi="TraditionalArabic"/>
          <w:color w:val="000000"/>
          <w:sz w:val="32"/>
          <w:rtl/>
        </w:rPr>
        <w:t>، لأنه على حد</w:t>
      </w:r>
      <w:r w:rsidRPr="00292714">
        <w:rPr>
          <w:rFonts w:ascii="TraditionalArabic" w:hAnsi="TraditionalArabic" w:hint="cs"/>
          <w:color w:val="000000"/>
          <w:sz w:val="32"/>
          <w:rtl/>
        </w:rPr>
        <w:t xml:space="preserve"> </w:t>
      </w:r>
      <w:r w:rsidRPr="00292714">
        <w:rPr>
          <w:rFonts w:ascii="TraditionalArabic" w:hAnsi="TraditionalArabic"/>
          <w:color w:val="000000"/>
          <w:sz w:val="32"/>
          <w:rtl/>
        </w:rPr>
        <w:t>تعبيره لا يخدش القاعدة اللغوية كثيرا</w:t>
      </w:r>
      <w:r w:rsidRPr="00292714">
        <w:rPr>
          <w:rStyle w:val="a4"/>
          <w:rFonts w:ascii="TraditionalArabic" w:hAnsi="TraditionalArabic"/>
          <w:color w:val="000000"/>
          <w:sz w:val="32"/>
          <w:rtl/>
        </w:rPr>
        <w:footnoteReference w:id="2"/>
      </w:r>
      <w:r w:rsidRPr="00292714">
        <w:rPr>
          <w:rFonts w:ascii="TraditionalArabic" w:hAnsi="TraditionalArabic" w:hint="cs"/>
          <w:color w:val="000000"/>
          <w:sz w:val="32"/>
          <w:rtl/>
        </w:rPr>
        <w:t>.</w:t>
      </w:r>
    </w:p>
    <w:p w:rsidR="000740BF" w:rsidRPr="00A320C9" w:rsidRDefault="000740BF" w:rsidP="000740BF">
      <w:pPr>
        <w:spacing w:after="200"/>
        <w:rPr>
          <w:rFonts w:ascii="TraditionalArabic" w:hAnsi="TraditionalArabic" w:hint="cs"/>
          <w:color w:val="000000"/>
          <w:sz w:val="32"/>
          <w:szCs w:val="28"/>
          <w:rtl/>
        </w:rPr>
      </w:pPr>
      <w:r>
        <w:rPr>
          <w:rFonts w:ascii="TraditionalArabic" w:hAnsi="TraditionalArabic" w:hint="cs"/>
          <w:color w:val="000000"/>
          <w:sz w:val="32"/>
          <w:rtl/>
        </w:rPr>
        <w:t xml:space="preserve">لقد </w:t>
      </w:r>
      <w:r w:rsidRPr="00A320C9">
        <w:rPr>
          <w:rFonts w:ascii="TraditionalArabic" w:hAnsi="TraditionalArabic"/>
          <w:color w:val="000000"/>
          <w:sz w:val="34"/>
          <w:rtl/>
        </w:rPr>
        <w:t>مثلت البنيوية منطلقا هاما في الخطاب النقدي العربي عبر</w:t>
      </w:r>
      <w:r w:rsidRPr="00A320C9">
        <w:rPr>
          <w:rFonts w:ascii="TraditionalArabic" w:hAnsi="TraditionalArabic" w:hint="cs"/>
          <w:color w:val="000000"/>
          <w:sz w:val="34"/>
          <w:rtl/>
        </w:rPr>
        <w:t xml:space="preserve"> </w:t>
      </w:r>
      <w:r w:rsidRPr="00A320C9">
        <w:rPr>
          <w:rFonts w:ascii="TraditionalArabic" w:hAnsi="TraditionalArabic"/>
          <w:color w:val="000000"/>
          <w:sz w:val="34"/>
          <w:rtl/>
        </w:rPr>
        <w:t>مختلف أقطار العالم العربي</w:t>
      </w:r>
      <w:r w:rsidRPr="00A320C9">
        <w:rPr>
          <w:rFonts w:ascii="TraditionalArabic" w:hAnsi="TraditionalArabic" w:hint="cs"/>
          <w:color w:val="000000"/>
          <w:sz w:val="34"/>
          <w:rtl/>
        </w:rPr>
        <w:t>،</w:t>
      </w:r>
      <w:r w:rsidRPr="00A320C9">
        <w:rPr>
          <w:rFonts w:ascii="TraditionalArabic" w:hAnsi="TraditionalArabic"/>
          <w:color w:val="000000"/>
          <w:sz w:val="34"/>
          <w:rtl/>
        </w:rPr>
        <w:t xml:space="preserve"> و</w:t>
      </w:r>
      <w:r w:rsidRPr="00A320C9">
        <w:rPr>
          <w:rFonts w:ascii="TraditionalArabic" w:hAnsi="TraditionalArabic" w:hint="cs"/>
          <w:color w:val="000000"/>
          <w:sz w:val="34"/>
          <w:rtl/>
        </w:rPr>
        <w:t xml:space="preserve"> </w:t>
      </w:r>
      <w:r w:rsidRPr="00A320C9">
        <w:rPr>
          <w:rFonts w:ascii="TraditionalArabic" w:hAnsi="TraditionalArabic"/>
          <w:color w:val="000000"/>
          <w:sz w:val="34"/>
          <w:rtl/>
        </w:rPr>
        <w:t>تمثل أبرزها في مدرسة فصول في مصر ومجموعات الشبان النشطين في</w:t>
      </w:r>
      <w:r w:rsidRPr="00A320C9">
        <w:rPr>
          <w:rFonts w:ascii="TraditionalArabic" w:hAnsi="TraditionalArabic" w:hint="cs"/>
          <w:color w:val="000000"/>
          <w:sz w:val="34"/>
          <w:rtl/>
        </w:rPr>
        <w:t xml:space="preserve"> </w:t>
      </w:r>
      <w:r w:rsidRPr="00A320C9">
        <w:rPr>
          <w:rFonts w:ascii="TraditionalArabic" w:hAnsi="TraditionalArabic"/>
          <w:color w:val="000000"/>
          <w:sz w:val="34"/>
          <w:rtl/>
        </w:rPr>
        <w:t>الترجمة و</w:t>
      </w:r>
      <w:r>
        <w:rPr>
          <w:rFonts w:ascii="TraditionalArabic" w:hAnsi="TraditionalArabic" w:hint="cs"/>
          <w:color w:val="000000"/>
          <w:sz w:val="34"/>
          <w:rtl/>
        </w:rPr>
        <w:t xml:space="preserve"> </w:t>
      </w:r>
      <w:r w:rsidRPr="00A320C9">
        <w:rPr>
          <w:rFonts w:ascii="TraditionalArabic" w:hAnsi="TraditionalArabic"/>
          <w:color w:val="000000"/>
          <w:sz w:val="34"/>
          <w:rtl/>
        </w:rPr>
        <w:t>التأليف في المغرب العربي</w:t>
      </w:r>
      <w:r w:rsidRPr="00A320C9">
        <w:rPr>
          <w:rFonts w:ascii="TraditionalArabic" w:hAnsi="TraditionalArabic" w:hint="cs"/>
          <w:color w:val="000000"/>
          <w:sz w:val="34"/>
          <w:rtl/>
        </w:rPr>
        <w:t>.</w:t>
      </w:r>
      <w:r w:rsidRPr="00A320C9">
        <w:rPr>
          <w:rStyle w:val="a4"/>
          <w:rFonts w:ascii="TraditionalArabic" w:hAnsi="TraditionalArabic"/>
          <w:color w:val="000000"/>
          <w:sz w:val="34"/>
          <w:rtl/>
        </w:rPr>
        <w:footnoteReference w:id="3"/>
      </w:r>
    </w:p>
    <w:p w:rsidR="000740BF" w:rsidRPr="005C0C9C" w:rsidRDefault="000740BF" w:rsidP="000740BF">
      <w:pPr>
        <w:spacing w:after="200"/>
        <w:rPr>
          <w:rFonts w:ascii="Simplified Arabic" w:hAnsi="Simplified Arabic"/>
          <w:color w:val="000000"/>
          <w:sz w:val="32"/>
          <w:rtl/>
        </w:rPr>
      </w:pPr>
      <w:r w:rsidRPr="005C0C9C">
        <w:rPr>
          <w:rFonts w:ascii="Simplified Arabic" w:hAnsi="Simplified Arabic"/>
          <w:color w:val="000000"/>
          <w:sz w:val="32"/>
          <w:rtl/>
        </w:rPr>
        <w:t>واللافت للنظر أن هذا الاتجاه –البنيوية: من أكثر الاتجاهات شيوعا في النقد العربي ومن النقاد العرب السائرين على خطاه محمد بنيس، محمد برادة، يمنى العيد...</w:t>
      </w:r>
      <w:r w:rsidRPr="005C0C9C">
        <w:rPr>
          <w:rStyle w:val="a4"/>
          <w:rFonts w:ascii="Simplified Arabic" w:hAnsi="Simplified Arabic"/>
          <w:color w:val="000000"/>
          <w:sz w:val="32"/>
          <w:rtl/>
        </w:rPr>
        <w:footnoteReference w:id="4"/>
      </w:r>
    </w:p>
    <w:p w:rsidR="000740BF" w:rsidRPr="007C1029" w:rsidRDefault="000740BF" w:rsidP="000740BF">
      <w:pPr>
        <w:spacing w:after="200"/>
        <w:rPr>
          <w:rFonts w:ascii="Simplified Arabic" w:hAnsi="Simplified Arabic"/>
          <w:color w:val="000000"/>
          <w:sz w:val="32"/>
          <w:rtl/>
        </w:rPr>
      </w:pPr>
      <w:r w:rsidRPr="007C1029">
        <w:rPr>
          <w:rFonts w:ascii="Simplified Arabic" w:hAnsi="Simplified Arabic"/>
          <w:color w:val="000000"/>
          <w:sz w:val="32"/>
          <w:rtl/>
        </w:rPr>
        <w:t>وكان أول لقاء للنقد العربي مع هذا المنهج هو "البنيوية التكوينية" والتي حاولت المزج بين الاتجاه الاجتماعي والاتجاه البنيوي وأن هذا المنهج كان بديلا للبنيوية الشكلانية.</w:t>
      </w:r>
    </w:p>
    <w:p w:rsidR="000740BF" w:rsidRDefault="000740BF" w:rsidP="000740BF">
      <w:pPr>
        <w:spacing w:after="200"/>
        <w:rPr>
          <w:rFonts w:ascii="Simplified Arabic" w:hAnsi="Simplified Arabic" w:hint="cs"/>
          <w:color w:val="000000"/>
          <w:sz w:val="32"/>
          <w:rtl/>
        </w:rPr>
      </w:pPr>
      <w:r>
        <w:rPr>
          <w:rFonts w:ascii="Simplified Arabic" w:hAnsi="Simplified Arabic" w:hint="cs"/>
          <w:color w:val="000000"/>
          <w:sz w:val="32"/>
          <w:rtl/>
        </w:rPr>
        <w:t xml:space="preserve">حيث </w:t>
      </w:r>
      <w:r w:rsidRPr="007C1029">
        <w:rPr>
          <w:rFonts w:ascii="Simplified Arabic" w:hAnsi="Simplified Arabic"/>
          <w:color w:val="000000"/>
          <w:sz w:val="32"/>
          <w:rtl/>
        </w:rPr>
        <w:t>كان المنهج الاجتماعي هو المنهج</w:t>
      </w:r>
      <w:r w:rsidRPr="007C1029">
        <w:rPr>
          <w:rFonts w:ascii="Simplified Arabic" w:hAnsi="Simplified Arabic" w:hint="cs"/>
          <w:color w:val="000000"/>
          <w:sz w:val="32"/>
          <w:rtl/>
        </w:rPr>
        <w:t xml:space="preserve"> </w:t>
      </w:r>
      <w:r w:rsidRPr="007C1029">
        <w:rPr>
          <w:rFonts w:ascii="Simplified Arabic" w:hAnsi="Simplified Arabic"/>
          <w:color w:val="000000"/>
          <w:sz w:val="32"/>
          <w:rtl/>
        </w:rPr>
        <w:t xml:space="preserve">النقدي الذي كان سائدا ومهيمنا على النقد العربي الحديث –قبل ظهور البنيوية– هو ، والذي أملته أسباب موضوعية وظروف تاريخية كان يعيشها المجتمع العربي من خلال </w:t>
      </w:r>
      <w:r w:rsidRPr="007C1029">
        <w:rPr>
          <w:rFonts w:ascii="Simplified Arabic" w:hAnsi="Simplified Arabic"/>
          <w:color w:val="000000"/>
          <w:sz w:val="32"/>
        </w:rPr>
        <w:t>)</w:t>
      </w:r>
      <w:r w:rsidRPr="007C1029">
        <w:rPr>
          <w:rFonts w:ascii="Simplified Arabic" w:hAnsi="Simplified Arabic"/>
          <w:color w:val="000000"/>
          <w:sz w:val="32"/>
          <w:rtl/>
        </w:rPr>
        <w:t>معركة التحرير/ طرد الاستعمار/ مناصرة قضايا الشعوب المحتلة</w:t>
      </w:r>
      <w:r w:rsidRPr="007C1029">
        <w:rPr>
          <w:rFonts w:ascii="Simplified Arabic" w:hAnsi="Simplified Arabic"/>
          <w:color w:val="000000"/>
          <w:sz w:val="32"/>
        </w:rPr>
        <w:t>(</w:t>
      </w:r>
      <w:r w:rsidRPr="007C1029">
        <w:rPr>
          <w:rFonts w:ascii="Simplified Arabic" w:hAnsi="Simplified Arabic"/>
          <w:color w:val="000000"/>
          <w:sz w:val="32"/>
          <w:rtl/>
        </w:rPr>
        <w:t>، وهذا ما مهد الطريق لتبني كل فلسفة اجتماعية تخدم أهدافه، وتتلاءم مع طموحاته وتطلعاته، فكان ذلك في البنيوية التكوينية، فظهرت عدة مقاربات حاول أصحا</w:t>
      </w:r>
      <w:r w:rsidRPr="007C1029">
        <w:rPr>
          <w:rFonts w:ascii="Simplified Arabic" w:eastAsia="MingLiU_HKSCS" w:hAnsi="Simplified Arabic"/>
          <w:color w:val="000000"/>
          <w:sz w:val="32"/>
          <w:rtl/>
        </w:rPr>
        <w:t>ب</w:t>
      </w:r>
      <w:r w:rsidRPr="007C1029">
        <w:rPr>
          <w:rFonts w:ascii="Simplified Arabic" w:hAnsi="Simplified Arabic"/>
          <w:color w:val="000000"/>
          <w:sz w:val="32"/>
          <w:rtl/>
        </w:rPr>
        <w:t xml:space="preserve"> من خلالها الجمع بين المناهج السياقية وخاصة المنهج الاجتماعي وبين المناهج النسقية التي تجلت في الدراسات البنيوية التي اكتسحت الدراسات النقدية في العالم، فحاول النقاد العرب استيعاب </w:t>
      </w:r>
      <w:r w:rsidRPr="007C1029">
        <w:rPr>
          <w:rFonts w:ascii="Simplified Arabic" w:hAnsi="Simplified Arabic"/>
          <w:color w:val="000000"/>
          <w:sz w:val="32"/>
          <w:rtl/>
        </w:rPr>
        <w:lastRenderedPageBreak/>
        <w:t>أهم مقولات المنهج البنيوي التكويني وتوظيفها في أبحاثهم</w:t>
      </w:r>
      <w:r w:rsidRPr="007C1029">
        <w:rPr>
          <w:rFonts w:ascii="Simplified Arabic" w:hAnsi="Simplified Arabic" w:hint="cs"/>
          <w:color w:val="000000"/>
          <w:sz w:val="32"/>
          <w:rtl/>
        </w:rPr>
        <w:t>[</w:t>
      </w:r>
      <w:r w:rsidRPr="007C1029">
        <w:rPr>
          <w:rFonts w:ascii="Simplified Arabic" w:hAnsi="Simplified Arabic"/>
          <w:color w:val="000000"/>
          <w:sz w:val="32"/>
          <w:rtl/>
        </w:rPr>
        <w:t>...</w:t>
      </w:r>
      <w:r w:rsidRPr="007C1029">
        <w:rPr>
          <w:rFonts w:ascii="Simplified Arabic" w:hAnsi="Simplified Arabic" w:hint="cs"/>
          <w:color w:val="000000"/>
          <w:sz w:val="32"/>
          <w:rtl/>
        </w:rPr>
        <w:t>]</w:t>
      </w:r>
      <w:r w:rsidRPr="007C1029">
        <w:rPr>
          <w:rFonts w:ascii="Simplified Arabic" w:hAnsi="Simplified Arabic"/>
          <w:color w:val="000000"/>
          <w:sz w:val="32"/>
          <w:rtl/>
        </w:rPr>
        <w:t xml:space="preserve"> ومن أهم النقاد العرب الذين اهتموا بالمنهج البنيوي التكويني، والذين ظهرت لهم أعمال تميزت بالوضوح في الرؤيا و</w:t>
      </w:r>
      <w:r w:rsidRPr="007C1029">
        <w:rPr>
          <w:rFonts w:ascii="Simplified Arabic" w:hAnsi="Simplified Arabic" w:hint="cs"/>
          <w:color w:val="000000"/>
          <w:sz w:val="32"/>
          <w:rtl/>
        </w:rPr>
        <w:t xml:space="preserve"> </w:t>
      </w:r>
      <w:r w:rsidRPr="007C1029">
        <w:rPr>
          <w:rFonts w:ascii="Simplified Arabic" w:hAnsi="Simplified Arabic"/>
          <w:color w:val="000000"/>
          <w:sz w:val="32"/>
          <w:rtl/>
        </w:rPr>
        <w:t xml:space="preserve">الأكاديمية في الطرح </w:t>
      </w:r>
      <w:r w:rsidRPr="007C1029">
        <w:rPr>
          <w:rFonts w:ascii="Simplified Arabic" w:hAnsi="Simplified Arabic"/>
          <w:color w:val="000000"/>
          <w:sz w:val="32"/>
        </w:rPr>
        <w:t>"</w:t>
      </w:r>
      <w:r w:rsidRPr="007C1029">
        <w:rPr>
          <w:rFonts w:ascii="Simplified Arabic" w:hAnsi="Simplified Arabic"/>
          <w:color w:val="000000"/>
          <w:sz w:val="32"/>
          <w:rtl/>
        </w:rPr>
        <w:t>محمد برادة" (المغرب</w:t>
      </w:r>
      <w:r w:rsidRPr="007C1029">
        <w:rPr>
          <w:rFonts w:ascii="Simplified Arabic" w:hAnsi="Simplified Arabic"/>
          <w:color w:val="000000"/>
          <w:sz w:val="32"/>
        </w:rPr>
        <w:t xml:space="preserve">( </w:t>
      </w:r>
      <w:r w:rsidRPr="007C1029">
        <w:rPr>
          <w:rFonts w:ascii="Simplified Arabic" w:hAnsi="Simplified Arabic"/>
          <w:color w:val="000000"/>
          <w:sz w:val="32"/>
          <w:rtl/>
        </w:rPr>
        <w:t xml:space="preserve">في رسالة جامعية حول </w:t>
      </w:r>
      <w:r w:rsidRPr="007C1029">
        <w:rPr>
          <w:rFonts w:ascii="Simplified Arabic" w:hAnsi="Simplified Arabic"/>
          <w:color w:val="000000"/>
          <w:sz w:val="32"/>
        </w:rPr>
        <w:t>"</w:t>
      </w:r>
      <w:r w:rsidRPr="007C1029">
        <w:rPr>
          <w:rFonts w:ascii="Simplified Arabic" w:hAnsi="Simplified Arabic"/>
          <w:color w:val="000000"/>
          <w:sz w:val="32"/>
          <w:rtl/>
        </w:rPr>
        <w:t xml:space="preserve">محمد مندور" وتنظير النقد العربي سنة </w:t>
      </w:r>
      <w:r w:rsidRPr="007C1029">
        <w:rPr>
          <w:rFonts w:ascii="Simplified Arabic" w:hAnsi="Simplified Arabic"/>
          <w:color w:val="000000"/>
          <w:sz w:val="32"/>
        </w:rPr>
        <w:t>1979</w:t>
      </w:r>
      <w:r w:rsidRPr="007C1029">
        <w:rPr>
          <w:rFonts w:ascii="Simplified Arabic" w:hAnsi="Simplified Arabic"/>
          <w:color w:val="000000"/>
          <w:sz w:val="32"/>
          <w:rtl/>
        </w:rPr>
        <w:t>والتي صرح في بدايتها أنه يعتمد المنهج البنيوي التكويني، لأن ميزته تتمثل</w:t>
      </w:r>
      <w:r w:rsidRPr="007C1029">
        <w:rPr>
          <w:rFonts w:ascii="Simplified Arabic" w:hAnsi="Simplified Arabic" w:hint="cs"/>
          <w:color w:val="000000"/>
          <w:sz w:val="32"/>
          <w:rtl/>
        </w:rPr>
        <w:t xml:space="preserve"> </w:t>
      </w:r>
      <w:r w:rsidRPr="007C1029">
        <w:rPr>
          <w:rFonts w:ascii="Simplified Arabic" w:hAnsi="Simplified Arabic"/>
          <w:color w:val="000000"/>
          <w:sz w:val="32"/>
          <w:rtl/>
        </w:rPr>
        <w:t>– فضلا عن مرونته المفهومية – في الأهمية القصوى التي يعطيها للتاريخ بمفهومه الواسع</w:t>
      </w:r>
      <w:r w:rsidRPr="007C1029">
        <w:rPr>
          <w:rFonts w:ascii="Simplified Arabic" w:hAnsi="Simplified Arabic" w:hint="cs"/>
          <w:color w:val="000000"/>
          <w:sz w:val="32"/>
          <w:rtl/>
        </w:rPr>
        <w:t>،</w:t>
      </w:r>
      <w:r w:rsidRPr="007C1029">
        <w:rPr>
          <w:rStyle w:val="a4"/>
          <w:rFonts w:ascii="Simplified Arabic" w:hAnsi="Simplified Arabic"/>
          <w:color w:val="000000"/>
          <w:sz w:val="32"/>
          <w:rtl/>
        </w:rPr>
        <w:footnoteReference w:id="5"/>
      </w:r>
      <w:r w:rsidRPr="007C1029">
        <w:rPr>
          <w:rFonts w:ascii="Simplified Arabic" w:hAnsi="Simplified Arabic" w:hint="cs"/>
          <w:color w:val="000000"/>
          <w:sz w:val="32"/>
          <w:rtl/>
        </w:rPr>
        <w:t xml:space="preserve"> ثم تليها دراسة أخرى للناقد"سعيد علوش" بعنوان"الرواية الإديولوجية في المغرب العربي"سنة1981،تلي ذلك دراسة أخرى للناقد المغربي"محمد بنيس" في مؤلفه"</w:t>
      </w:r>
      <w:r>
        <w:rPr>
          <w:rFonts w:ascii="Simplified Arabic" w:hAnsi="Simplified Arabic" w:hint="cs"/>
          <w:color w:val="000000"/>
          <w:sz w:val="32"/>
          <w:rtl/>
        </w:rPr>
        <w:t xml:space="preserve"> </w:t>
      </w:r>
      <w:r w:rsidRPr="007C1029">
        <w:rPr>
          <w:rFonts w:ascii="Simplified Arabic" w:hAnsi="Simplified Arabic" w:hint="cs"/>
          <w:color w:val="000000"/>
          <w:sz w:val="32"/>
          <w:rtl/>
        </w:rPr>
        <w:t>ظاهرة الشعر المعاصر بالمغرب مقاربة بنيوية تكوينية" سنة1979،وكذلك محاولة أخرى للناقد "جمال شحيد"</w:t>
      </w:r>
      <w:r>
        <w:rPr>
          <w:rFonts w:ascii="Simplified Arabic" w:hAnsi="Simplified Arabic" w:hint="cs"/>
          <w:color w:val="000000"/>
          <w:sz w:val="32"/>
          <w:rtl/>
        </w:rPr>
        <w:t xml:space="preserve"> </w:t>
      </w:r>
      <w:r w:rsidRPr="007C1029">
        <w:rPr>
          <w:rFonts w:ascii="Simplified Arabic" w:hAnsi="Simplified Arabic" w:hint="cs"/>
          <w:color w:val="000000"/>
          <w:sz w:val="32"/>
          <w:rtl/>
        </w:rPr>
        <w:t>بعنوان</w:t>
      </w:r>
      <w:r>
        <w:rPr>
          <w:rFonts w:ascii="Simplified Arabic" w:hAnsi="Simplified Arabic" w:hint="cs"/>
          <w:color w:val="000000"/>
          <w:sz w:val="32"/>
          <w:rtl/>
        </w:rPr>
        <w:t xml:space="preserve"> </w:t>
      </w:r>
      <w:r w:rsidRPr="007C1029">
        <w:rPr>
          <w:rFonts w:ascii="Simplified Arabic" w:hAnsi="Simplified Arabic" w:hint="cs"/>
          <w:color w:val="000000"/>
          <w:sz w:val="32"/>
          <w:rtl/>
        </w:rPr>
        <w:t>"البنيوية التركيبية دراسات في منهج لوسيان غولدمان</w:t>
      </w:r>
      <w:r w:rsidRPr="007C1029">
        <w:rPr>
          <w:rFonts w:ascii="Simplified Arabic" w:hAnsi="Simplified Arabic"/>
          <w:color w:val="000000"/>
          <w:sz w:val="32"/>
        </w:rPr>
        <w:t>Goldman</w:t>
      </w:r>
      <w:r w:rsidRPr="007C1029">
        <w:rPr>
          <w:rFonts w:ascii="Simplified Arabic" w:hAnsi="Simplified Arabic" w:hint="cs"/>
          <w:color w:val="000000"/>
          <w:sz w:val="32"/>
          <w:rtl/>
        </w:rPr>
        <w:t xml:space="preserve"> سنة</w:t>
      </w:r>
      <w:r>
        <w:rPr>
          <w:rFonts w:ascii="Simplified Arabic" w:hAnsi="Simplified Arabic" w:hint="cs"/>
          <w:color w:val="000000"/>
          <w:sz w:val="32"/>
          <w:rtl/>
        </w:rPr>
        <w:t xml:space="preserve"> </w:t>
      </w:r>
      <w:r w:rsidRPr="007C1029">
        <w:rPr>
          <w:rFonts w:ascii="Simplified Arabic" w:hAnsi="Simplified Arabic" w:hint="cs"/>
          <w:color w:val="000000"/>
          <w:sz w:val="32"/>
          <w:rtl/>
        </w:rPr>
        <w:t>1982 ضف إلى ذلك دراسة"يمنى العيد" في كتابها"</w:t>
      </w:r>
      <w:r w:rsidRPr="007C1029">
        <w:rPr>
          <w:rFonts w:ascii="Simplified Arabic" w:hAnsi="Simplified Arabic"/>
          <w:color w:val="000000"/>
          <w:sz w:val="32"/>
          <w:rtl/>
        </w:rPr>
        <w:t>في معرفة النص دراسات في النقد</w:t>
      </w:r>
      <w:r w:rsidRPr="0053064F">
        <w:rPr>
          <w:rFonts w:ascii="Simplified Arabic" w:hAnsi="Simplified Arabic"/>
          <w:b/>
          <w:bCs/>
          <w:color w:val="000000"/>
          <w:sz w:val="32"/>
          <w:rtl/>
        </w:rPr>
        <w:t xml:space="preserve"> </w:t>
      </w:r>
      <w:r w:rsidRPr="0053064F">
        <w:rPr>
          <w:rFonts w:ascii="Simplified Arabic" w:hAnsi="Simplified Arabic"/>
          <w:color w:val="000000"/>
          <w:sz w:val="32"/>
          <w:rtl/>
        </w:rPr>
        <w:t>الأدبي</w:t>
      </w:r>
      <w:r>
        <w:rPr>
          <w:rFonts w:ascii="Simplified Arabic" w:hAnsi="Simplified Arabic" w:hint="cs"/>
          <w:color w:val="000000"/>
          <w:sz w:val="32"/>
          <w:rtl/>
        </w:rPr>
        <w:t>"</w:t>
      </w:r>
      <w:r w:rsidRPr="0053064F">
        <w:rPr>
          <w:rFonts w:ascii="Simplified Arabic" w:hAnsi="Simplified Arabic" w:hint="cs"/>
          <w:color w:val="000000"/>
          <w:sz w:val="32"/>
          <w:rtl/>
        </w:rPr>
        <w:t xml:space="preserve">سنة </w:t>
      </w:r>
      <w:r w:rsidRPr="0053064F">
        <w:rPr>
          <w:rFonts w:ascii="Simplified Arabic" w:hAnsi="Simplified Arabic"/>
          <w:color w:val="000000"/>
          <w:sz w:val="32"/>
        </w:rPr>
        <w:t>1983</w:t>
      </w:r>
      <w:r>
        <w:rPr>
          <w:rFonts w:ascii="Simplified Arabic" w:hAnsi="Simplified Arabic" w:hint="cs"/>
          <w:color w:val="000000"/>
          <w:sz w:val="32"/>
          <w:rtl/>
        </w:rPr>
        <w:t>، دون أن ننسى دراسة النقاد</w:t>
      </w:r>
      <w:r w:rsidRPr="005C0C9C">
        <w:rPr>
          <w:rFonts w:ascii="Simplified Arabic" w:hAnsi="Simplified Arabic"/>
          <w:b/>
          <w:bCs/>
          <w:color w:val="000000"/>
          <w:sz w:val="32"/>
        </w:rPr>
        <w:t>"</w:t>
      </w:r>
      <w:r w:rsidRPr="005C0C9C">
        <w:rPr>
          <w:rFonts w:ascii="Simplified Arabic" w:hAnsi="Simplified Arabic"/>
          <w:b/>
          <w:bCs/>
          <w:color w:val="000000"/>
          <w:sz w:val="32"/>
          <w:rtl/>
        </w:rPr>
        <w:t xml:space="preserve">حميد لحميداني" </w:t>
      </w:r>
      <w:r>
        <w:rPr>
          <w:rFonts w:ascii="Simplified Arabic" w:hAnsi="Simplified Arabic" w:hint="cs"/>
          <w:b/>
          <w:bCs/>
          <w:color w:val="000000"/>
          <w:sz w:val="32"/>
          <w:rtl/>
        </w:rPr>
        <w:t>"</w:t>
      </w:r>
      <w:r w:rsidRPr="0053064F">
        <w:rPr>
          <w:rFonts w:ascii="Simplified Arabic" w:hAnsi="Simplified Arabic"/>
          <w:color w:val="000000"/>
          <w:sz w:val="32"/>
          <w:rtl/>
        </w:rPr>
        <w:t>الرواية المغربية، ورؤية الواقع الاجتماعي دراسة بنيوية تكوينية</w:t>
      </w:r>
      <w:r>
        <w:rPr>
          <w:rFonts w:ascii="Simplified Arabic" w:hAnsi="Simplified Arabic" w:hint="cs"/>
          <w:color w:val="000000"/>
          <w:sz w:val="32"/>
          <w:rtl/>
        </w:rPr>
        <w:t>" سنة</w:t>
      </w:r>
      <w:r w:rsidRPr="0053064F">
        <w:rPr>
          <w:rFonts w:ascii="Simplified Arabic" w:hAnsi="Simplified Arabic" w:hint="cs"/>
          <w:color w:val="000000"/>
          <w:sz w:val="32"/>
          <w:rtl/>
        </w:rPr>
        <w:t xml:space="preserve"> </w:t>
      </w:r>
      <w:r w:rsidRPr="0053064F">
        <w:rPr>
          <w:rFonts w:ascii="Simplified Arabic" w:hAnsi="Simplified Arabic"/>
          <w:color w:val="000000"/>
          <w:sz w:val="32"/>
        </w:rPr>
        <w:t>1984</w:t>
      </w:r>
      <w:r>
        <w:rPr>
          <w:rFonts w:ascii="Simplified Arabic" w:hAnsi="Simplified Arabic" w:hint="cs"/>
          <w:color w:val="000000"/>
          <w:sz w:val="32"/>
          <w:rtl/>
        </w:rPr>
        <w:t>.</w:t>
      </w:r>
      <w:r>
        <w:rPr>
          <w:rStyle w:val="a4"/>
          <w:rFonts w:ascii="Simplified Arabic" w:hAnsi="Simplified Arabic"/>
          <w:color w:val="000000"/>
          <w:sz w:val="32"/>
          <w:rtl/>
        </w:rPr>
        <w:footnoteReference w:id="6"/>
      </w:r>
      <w:r>
        <w:rPr>
          <w:rFonts w:ascii="Simplified Arabic" w:hAnsi="Simplified Arabic" w:hint="cs"/>
          <w:color w:val="000000"/>
          <w:sz w:val="32"/>
          <w:rtl/>
        </w:rPr>
        <w:t xml:space="preserve"> </w:t>
      </w:r>
    </w:p>
    <w:p w:rsidR="000740BF" w:rsidRDefault="000740BF" w:rsidP="000740BF">
      <w:pPr>
        <w:spacing w:after="200"/>
        <w:rPr>
          <w:rFonts w:ascii="Simplified Arabic" w:hAnsi="Simplified Arabic" w:hint="cs"/>
          <w:color w:val="000000"/>
          <w:sz w:val="34"/>
          <w:rtl/>
        </w:rPr>
      </w:pPr>
      <w:r>
        <w:rPr>
          <w:rFonts w:ascii="Simplified Arabic" w:hAnsi="Simplified Arabic" w:hint="cs"/>
          <w:color w:val="000000"/>
          <w:sz w:val="34"/>
          <w:rtl/>
        </w:rPr>
        <w:t xml:space="preserve">ويعد كتاب صلاح فضل"النظرية البنائية في النقد الأدبي"أكثر الكتب النقدية وضوحا واحترافية؛حيث حاول صاحبه </w:t>
      </w:r>
      <w:r w:rsidRPr="00FE40DD">
        <w:rPr>
          <w:rFonts w:ascii="Simplified Arabic" w:hAnsi="Simplified Arabic"/>
          <w:color w:val="000000"/>
          <w:sz w:val="34"/>
          <w:rtl/>
        </w:rPr>
        <w:t xml:space="preserve">تقديم محاولة جادة في التأسيس النظري لعالم البنيوية </w:t>
      </w:r>
      <w:r>
        <w:rPr>
          <w:rFonts w:ascii="Simplified Arabic" w:hAnsi="Simplified Arabic" w:hint="cs"/>
          <w:color w:val="000000"/>
          <w:sz w:val="34"/>
          <w:rtl/>
        </w:rPr>
        <w:t>حيث</w:t>
      </w:r>
      <w:r w:rsidRPr="00FE40DD">
        <w:rPr>
          <w:rFonts w:ascii="Simplified Arabic" w:hAnsi="Simplified Arabic"/>
          <w:color w:val="000000"/>
          <w:sz w:val="34"/>
          <w:rtl/>
        </w:rPr>
        <w:t xml:space="preserve"> تناول فيه مختلف الروافد البنيوية</w:t>
      </w:r>
      <w:r>
        <w:rPr>
          <w:rFonts w:ascii="Simplified Arabic" w:hAnsi="Simplified Arabic" w:hint="cs"/>
          <w:color w:val="000000"/>
          <w:sz w:val="34"/>
          <w:rtl/>
        </w:rPr>
        <w:t>.</w:t>
      </w:r>
    </w:p>
    <w:p w:rsidR="000740BF" w:rsidRDefault="000740BF" w:rsidP="000740BF">
      <w:pPr>
        <w:spacing w:after="200"/>
        <w:rPr>
          <w:rFonts w:ascii="Simplified Arabic" w:hAnsi="Simplified Arabic" w:hint="cs"/>
          <w:color w:val="000000"/>
          <w:sz w:val="34"/>
          <w:rtl/>
        </w:rPr>
      </w:pPr>
      <w:r>
        <w:rPr>
          <w:rFonts w:ascii="Simplified Arabic" w:hAnsi="Simplified Arabic" w:hint="cs"/>
          <w:color w:val="000000"/>
          <w:sz w:val="34"/>
          <w:rtl/>
        </w:rPr>
        <w:t xml:space="preserve">ومما سبق يمكن القول إن عمل البنيوية يتمحور في البحث في القوانين والأنساق الداخلية للعمل الأدبي،وتعامل النص كعالم مغلق على نفسه،بعيدا عن الرؤية السياقية،ومن هنا طل هدف البنيوية الوصول إلى محاولة فهم المستويات المتعددة للأعمال الأدبية،ودراسة علائقها وتراتبها والعناصر المهيمنة على غيرها وكيفية توالدها،ثم كيفية أدائها لوظائفها الجمالية و الشعرية،وهكذا فالمنهج البنيوي اهتم في تحليله للنص ببناه الأدبية وفحص علائقها الداخلية، </w:t>
      </w:r>
      <w:r>
        <w:rPr>
          <w:rFonts w:ascii="Simplified Arabic" w:hAnsi="Simplified Arabic" w:hint="cs"/>
          <w:color w:val="000000"/>
          <w:sz w:val="34"/>
          <w:rtl/>
        </w:rPr>
        <w:lastRenderedPageBreak/>
        <w:t>ركز على دراسة لغة الآثار الأدبية وليس عمومها، بل في صيغتها الأدبية والشعرية خاصة.</w:t>
      </w:r>
      <w:r>
        <w:rPr>
          <w:rStyle w:val="a4"/>
          <w:rFonts w:ascii="Simplified Arabic" w:hAnsi="Simplified Arabic"/>
          <w:color w:val="000000"/>
          <w:sz w:val="34"/>
          <w:rtl/>
        </w:rPr>
        <w:footnoteReference w:id="7"/>
      </w:r>
    </w:p>
    <w:p w:rsidR="003B1A6D" w:rsidRDefault="003B1A6D"/>
    <w:sectPr w:rsidR="003B1A6D" w:rsidSect="003B1A6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D54" w:rsidRDefault="00DB4D54" w:rsidP="000740BF">
      <w:r>
        <w:separator/>
      </w:r>
    </w:p>
  </w:endnote>
  <w:endnote w:type="continuationSeparator" w:id="1">
    <w:p w:rsidR="00DB4D54" w:rsidRDefault="00DB4D54" w:rsidP="000740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Arabic">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raditionalArabic-Bold">
    <w:altName w:val="Times New Roman"/>
    <w:panose1 w:val="00000000000000000000"/>
    <w:charset w:val="00"/>
    <w:family w:val="roman"/>
    <w:notTrueType/>
    <w:pitch w:val="default"/>
    <w:sig w:usb0="00000000" w:usb1="00000000" w:usb2="00000000" w:usb3="00000000" w:csb0="00000000"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D54" w:rsidRDefault="00DB4D54" w:rsidP="000740BF">
      <w:r>
        <w:separator/>
      </w:r>
    </w:p>
  </w:footnote>
  <w:footnote w:type="continuationSeparator" w:id="1">
    <w:p w:rsidR="00DB4D54" w:rsidRDefault="00DB4D54" w:rsidP="000740BF">
      <w:r>
        <w:continuationSeparator/>
      </w:r>
    </w:p>
  </w:footnote>
  <w:footnote w:id="2">
    <w:p w:rsidR="000740BF" w:rsidRPr="00564C50" w:rsidRDefault="000740BF" w:rsidP="000740BF">
      <w:pPr>
        <w:pStyle w:val="a3"/>
        <w:rPr>
          <w:rFonts w:ascii="Simplified Arabic" w:hAnsi="Simplified Arabic" w:cs="Simplified Arabic"/>
          <w:sz w:val="24"/>
          <w:szCs w:val="24"/>
          <w:lang w:bidi="ar-DZ"/>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w:t>
      </w:r>
      <w:r w:rsidRPr="00564C50">
        <w:rPr>
          <w:rFonts w:ascii="Simplified Arabic" w:eastAsia="Calibri" w:hAnsi="Simplified Arabic" w:cs="Simplified Arabic"/>
          <w:color w:val="000000"/>
          <w:sz w:val="24"/>
          <w:szCs w:val="24"/>
          <w:rtl/>
          <w:lang w:val="en-US" w:eastAsia="en-US"/>
        </w:rPr>
        <w:t>يوسف وغليسي:النقد الجزائري المعاصر من اللانسونية إلى الألسنية،ص ص21، 22.</w:t>
      </w:r>
    </w:p>
  </w:footnote>
  <w:footnote w:id="3">
    <w:p w:rsidR="000740BF" w:rsidRPr="00564C50" w:rsidRDefault="000740BF" w:rsidP="000740BF">
      <w:pPr>
        <w:pStyle w:val="a3"/>
        <w:rPr>
          <w:rFonts w:ascii="Simplified Arabic" w:hAnsi="Simplified Arabic" w:cs="Simplified Arabic"/>
          <w:sz w:val="24"/>
          <w:szCs w:val="24"/>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صلاح فضل:في النقد الأدبي،منشورات اتحاد الكتاب العرب،دمشق،سوريا،د ط، 2007،ص59.</w:t>
      </w:r>
    </w:p>
  </w:footnote>
  <w:footnote w:id="4">
    <w:p w:rsidR="000740BF" w:rsidRPr="00564C50" w:rsidRDefault="000740BF" w:rsidP="000740BF">
      <w:pPr>
        <w:pStyle w:val="a3"/>
        <w:jc w:val="left"/>
        <w:rPr>
          <w:rFonts w:ascii="Simplified Arabic" w:hAnsi="Simplified Arabic" w:cs="Simplified Arabic"/>
          <w:sz w:val="24"/>
          <w:szCs w:val="24"/>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w:t>
      </w:r>
      <w:r w:rsidRPr="00564C50">
        <w:rPr>
          <w:rFonts w:ascii="Simplified Arabic" w:eastAsia="Calibri" w:hAnsi="Simplified Arabic" w:cs="Simplified Arabic"/>
          <w:color w:val="000000"/>
          <w:sz w:val="24"/>
          <w:szCs w:val="24"/>
          <w:rtl/>
          <w:lang w:val="en-US" w:eastAsia="en-US"/>
        </w:rPr>
        <w:t>إبراهيم محمود خليل: النقد الأدبي الحديث من المحاكاة إلى التفكيك،</w:t>
      </w:r>
      <w:r w:rsidRPr="00564C50">
        <w:rPr>
          <w:rStyle w:val="a3"/>
          <w:rFonts w:ascii="Simplified Arabic" w:hAnsi="Simplified Arabic" w:cs="Simplified Arabic"/>
          <w:sz w:val="24"/>
          <w:szCs w:val="24"/>
          <w:rtl/>
        </w:rPr>
        <w:t xml:space="preserve"> </w:t>
      </w:r>
      <w:r w:rsidRPr="00564C50">
        <w:rPr>
          <w:rFonts w:ascii="Simplified Arabic" w:eastAsia="Calibri" w:hAnsi="Simplified Arabic" w:cs="Simplified Arabic"/>
          <w:color w:val="000000"/>
          <w:sz w:val="24"/>
          <w:szCs w:val="24"/>
          <w:rtl/>
          <w:lang w:val="en-US" w:eastAsia="en-US"/>
        </w:rPr>
        <w:t>دار المسـيرة للنشـر والتوزيع والطباعة، عمان،ط1، 2003، ص104.</w:t>
      </w:r>
    </w:p>
  </w:footnote>
  <w:footnote w:id="5">
    <w:p w:rsidR="000740BF" w:rsidRPr="00564C50" w:rsidRDefault="000740BF" w:rsidP="000740BF">
      <w:pPr>
        <w:pStyle w:val="a3"/>
        <w:rPr>
          <w:rFonts w:ascii="Simplified Arabic" w:eastAsia="Calibri" w:hAnsi="Simplified Arabic" w:cs="Simplified Arabic"/>
          <w:color w:val="000000"/>
          <w:sz w:val="24"/>
          <w:szCs w:val="24"/>
          <w:lang w:val="en-US" w:eastAsia="en-US"/>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w:t>
      </w:r>
      <w:r w:rsidRPr="00564C50">
        <w:rPr>
          <w:rFonts w:ascii="Simplified Arabic" w:eastAsia="Calibri" w:hAnsi="Simplified Arabic" w:cs="Simplified Arabic"/>
          <w:color w:val="000000"/>
          <w:sz w:val="24"/>
          <w:szCs w:val="24"/>
          <w:rtl/>
          <w:lang w:val="en-US" w:eastAsia="en-US"/>
        </w:rPr>
        <w:t>محمد بلوحي: الخطاب النقدي المعاصر من السياق إلى النسق"الأسس والآليات" دار الغرب للنشر والتوزيع،الجزائر،د ط، 2002، ص96.</w:t>
      </w:r>
    </w:p>
  </w:footnote>
  <w:footnote w:id="6">
    <w:p w:rsidR="000740BF" w:rsidRPr="00564C50" w:rsidRDefault="000740BF" w:rsidP="000740BF">
      <w:pPr>
        <w:pStyle w:val="a3"/>
        <w:jc w:val="left"/>
        <w:rPr>
          <w:rFonts w:ascii="Simplified Arabic" w:hAnsi="Simplified Arabic" w:cs="Simplified Arabic"/>
          <w:sz w:val="24"/>
          <w:szCs w:val="24"/>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w:t>
      </w:r>
      <w:r w:rsidRPr="00564C50">
        <w:rPr>
          <w:rFonts w:ascii="Simplified Arabic" w:eastAsia="Calibri" w:hAnsi="Simplified Arabic" w:cs="Simplified Arabic"/>
          <w:color w:val="000000"/>
          <w:sz w:val="24"/>
          <w:szCs w:val="24"/>
          <w:rtl/>
          <w:lang w:val="en-US" w:eastAsia="en-US"/>
        </w:rPr>
        <w:t>بشير تاوريريت: الحقيقة الشعرية على ضوء المناهج النقدية المعاصرة والنظريـات الشـعرية،ص76.</w:t>
      </w:r>
    </w:p>
  </w:footnote>
  <w:footnote w:id="7">
    <w:p w:rsidR="000740BF" w:rsidRPr="00564C50" w:rsidRDefault="000740BF" w:rsidP="000740BF">
      <w:pPr>
        <w:pStyle w:val="a3"/>
        <w:rPr>
          <w:rFonts w:ascii="Simplified Arabic" w:hAnsi="Simplified Arabic" w:cs="Simplified Arabic"/>
          <w:sz w:val="24"/>
          <w:szCs w:val="24"/>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العرابي لخضر: المدارس النقدية المعاصرة، دار الغرب للنشر والتوزيع، صبرة، ط1، 2007، ص ص 112، 113.</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740BF"/>
    <w:rsid w:val="000740BF"/>
    <w:rsid w:val="003B1A6D"/>
    <w:rsid w:val="00DB4D5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0BF"/>
    <w:pPr>
      <w:bidi/>
      <w:spacing w:after="0" w:line="240" w:lineRule="auto"/>
      <w:jc w:val="lowKashida"/>
    </w:pPr>
    <w:rPr>
      <w:rFonts w:ascii="Times New Roman" w:eastAsia="Calibri" w:hAnsi="Times New Roman" w:cs="Simplified Arabic"/>
      <w:sz w:val="28"/>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0740BF"/>
    <w:rPr>
      <w:rFonts w:eastAsia="Times New Roman" w:cs="Times New Roman"/>
      <w:sz w:val="20"/>
      <w:szCs w:val="20"/>
      <w:lang/>
    </w:rPr>
  </w:style>
  <w:style w:type="character" w:customStyle="1" w:styleId="Char">
    <w:name w:val="نص حاشية سفلية Char"/>
    <w:basedOn w:val="a0"/>
    <w:link w:val="a3"/>
    <w:uiPriority w:val="99"/>
    <w:rsid w:val="000740BF"/>
    <w:rPr>
      <w:rFonts w:ascii="Times New Roman" w:eastAsia="Times New Roman" w:hAnsi="Times New Roman" w:cs="Times New Roman"/>
      <w:sz w:val="20"/>
      <w:szCs w:val="20"/>
      <w:lang/>
    </w:rPr>
  </w:style>
  <w:style w:type="character" w:styleId="a4">
    <w:name w:val="footnote reference"/>
    <w:uiPriority w:val="99"/>
    <w:unhideWhenUsed/>
    <w:rsid w:val="000740B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480</Words>
  <Characters>2645</Characters>
  <Application>Microsoft Office Word</Application>
  <DocSecurity>0</DocSecurity>
  <Lines>22</Lines>
  <Paragraphs>6</Paragraphs>
  <ScaleCrop>false</ScaleCrop>
  <Company/>
  <LinksUpToDate>false</LinksUpToDate>
  <CharactersWithSpaces>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NTC</dc:creator>
  <cp:lastModifiedBy>NTC</cp:lastModifiedBy>
  <cp:revision>1</cp:revision>
  <dcterms:created xsi:type="dcterms:W3CDTF">2021-01-17T21:22:00Z</dcterms:created>
  <dcterms:modified xsi:type="dcterms:W3CDTF">2021-01-17T21:22:00Z</dcterms:modified>
</cp:coreProperties>
</file>