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31" w:rsidRDefault="00283831" w:rsidP="00283831">
      <w:pPr>
        <w:spacing w:after="200"/>
        <w:rPr>
          <w:rFonts w:ascii="Simplified Arabic" w:hAnsi="Simplified Arabic"/>
          <w:b/>
          <w:bCs/>
          <w:color w:val="000000"/>
          <w:sz w:val="32"/>
          <w:rtl/>
        </w:rPr>
      </w:pPr>
      <w:r w:rsidRPr="00870360">
        <w:rPr>
          <w:rFonts w:ascii="Simplified Arabic" w:hAnsi="Simplified Arabic"/>
          <w:b/>
          <w:bCs/>
          <w:color w:val="000000"/>
          <w:sz w:val="32"/>
          <w:rtl/>
        </w:rPr>
        <w:t>05/0</w:t>
      </w:r>
      <w:r>
        <w:rPr>
          <w:rFonts w:ascii="Simplified Arabic" w:hAnsi="Simplified Arabic" w:hint="cs"/>
          <w:b/>
          <w:bCs/>
          <w:color w:val="000000"/>
          <w:sz w:val="32"/>
          <w:rtl/>
        </w:rPr>
        <w:t>3</w:t>
      </w:r>
      <w:r>
        <w:rPr>
          <w:rFonts w:ascii="Simplified Arabic" w:hAnsi="Simplified Arabic"/>
          <w:b/>
          <w:bCs/>
          <w:color w:val="000000"/>
          <w:sz w:val="32"/>
          <w:rtl/>
        </w:rPr>
        <w:t xml:space="preserve"> :سيم</w:t>
      </w:r>
      <w:r>
        <w:rPr>
          <w:rFonts w:ascii="Simplified Arabic" w:hAnsi="Simplified Arabic" w:hint="cs"/>
          <w:b/>
          <w:bCs/>
          <w:color w:val="000000"/>
          <w:sz w:val="32"/>
          <w:rtl/>
        </w:rPr>
        <w:t>يوطيقا</w:t>
      </w:r>
      <w:r w:rsidRPr="00870360">
        <w:rPr>
          <w:rFonts w:ascii="Simplified Arabic" w:hAnsi="Simplified Arabic"/>
          <w:b/>
          <w:bCs/>
          <w:color w:val="000000"/>
          <w:sz w:val="32"/>
          <w:rtl/>
        </w:rPr>
        <w:t xml:space="preserve"> ال</w:t>
      </w:r>
      <w:r>
        <w:rPr>
          <w:rFonts w:ascii="Simplified Arabic" w:hAnsi="Simplified Arabic" w:hint="cs"/>
          <w:b/>
          <w:bCs/>
          <w:color w:val="000000"/>
          <w:sz w:val="32"/>
          <w:rtl/>
        </w:rPr>
        <w:t>ثقافة</w:t>
      </w:r>
      <w:r w:rsidRPr="00870360">
        <w:rPr>
          <w:rFonts w:ascii="Simplified Arabic" w:hAnsi="Simplified Arabic"/>
          <w:b/>
          <w:bCs/>
          <w:color w:val="000000"/>
          <w:sz w:val="32"/>
          <w:rtl/>
        </w:rPr>
        <w:t>:</w:t>
      </w:r>
    </w:p>
    <w:p w:rsidR="00283831" w:rsidRDefault="00283831" w:rsidP="00283831">
      <w:pPr>
        <w:spacing w:after="200"/>
        <w:rPr>
          <w:rFonts w:ascii="TraditionalArabic" w:hAnsi="TraditionalArabic"/>
          <w:color w:val="000000"/>
          <w:sz w:val="34"/>
          <w:u w:val="single"/>
          <w:rtl/>
        </w:rPr>
      </w:pPr>
      <w:r w:rsidRPr="00B85227">
        <w:rPr>
          <w:rFonts w:ascii="Simplified Arabic" w:hAnsi="Simplified Arabic" w:hint="cs"/>
          <w:color w:val="000000"/>
          <w:sz w:val="32"/>
          <w:rtl/>
        </w:rPr>
        <w:t xml:space="preserve">يرى الناقد "فيصل الأحمر" أن هذا النوع من </w:t>
      </w:r>
      <w:r>
        <w:rPr>
          <w:rFonts w:ascii="Simplified Arabic" w:hAnsi="Simplified Arabic" w:hint="cs"/>
          <w:color w:val="000000"/>
          <w:sz w:val="32"/>
          <w:rtl/>
        </w:rPr>
        <w:t>السيميائية أنه يجمع بين النوعين السابقين، لكنه مختلف عنهما كونه مرتبط بالجانب لتطبيقي، كون مصطلح "السيميوطيقا" تختص بالجانب التطبيقي، بينما تختص "السيميولوجيا" بالجانب النظري، وتعود جذور سيميوطيقا الثقافة إلى  مجموعة من الباحثين السوفييت</w:t>
      </w:r>
      <w:r>
        <w:rPr>
          <w:rFonts w:ascii="Simplified Arabic" w:hAnsi="Simplified Arabic"/>
          <w:color w:val="000000"/>
          <w:sz w:val="32"/>
          <w:rtl/>
        </w:rPr>
        <w:t>-</w:t>
      </w:r>
      <w:r>
        <w:rPr>
          <w:rFonts w:ascii="Simplified Arabic" w:hAnsi="Simplified Arabic" w:hint="cs"/>
          <w:color w:val="000000"/>
          <w:sz w:val="32"/>
          <w:rtl/>
        </w:rPr>
        <w:t>يطلق عليهم جماعة موسكو</w:t>
      </w:r>
      <w:r>
        <w:rPr>
          <w:rFonts w:ascii="Simplified Arabic" w:hAnsi="Simplified Arabic"/>
          <w:color w:val="000000"/>
          <w:sz w:val="32"/>
          <w:rtl/>
        </w:rPr>
        <w:t>-</w:t>
      </w:r>
      <w:r>
        <w:rPr>
          <w:rFonts w:ascii="Simplified Arabic" w:hAnsi="Simplified Arabic" w:hint="cs"/>
          <w:color w:val="000000"/>
          <w:sz w:val="32"/>
          <w:rtl/>
        </w:rPr>
        <w:t>تارتو</w:t>
      </w:r>
      <w:r>
        <w:rPr>
          <w:rFonts w:ascii="Simplified Arabic" w:hAnsi="Simplified Arabic"/>
          <w:color w:val="000000"/>
          <w:sz w:val="32"/>
          <w:rtl/>
        </w:rPr>
        <w:t>-</w:t>
      </w:r>
      <w:r>
        <w:rPr>
          <w:rFonts w:ascii="Simplified Arabic" w:hAnsi="Simplified Arabic" w:hint="cs"/>
          <w:color w:val="000000"/>
          <w:sz w:val="32"/>
          <w:rtl/>
        </w:rPr>
        <w:t xml:space="preserve"> من أمثال" لوتمان،ايفانوف،والذين يرون أن العلامة تتكون من وحدة ثلاثية المبنى</w:t>
      </w:r>
      <w:r>
        <w:rPr>
          <w:rFonts w:ascii="Simplified Arabic" w:hAnsi="Simplified Arabic"/>
          <w:color w:val="000000"/>
          <w:sz w:val="32"/>
          <w:rtl/>
        </w:rPr>
        <w:t>(</w:t>
      </w:r>
      <w:r>
        <w:rPr>
          <w:rFonts w:ascii="Simplified Arabic" w:hAnsi="Simplified Arabic" w:hint="cs"/>
          <w:color w:val="000000"/>
          <w:sz w:val="32"/>
          <w:rtl/>
        </w:rPr>
        <w:t>الدال/المدلول/المرجع</w:t>
      </w:r>
      <w:r>
        <w:rPr>
          <w:rFonts w:ascii="Simplified Arabic" w:hAnsi="Simplified Arabic"/>
          <w:color w:val="000000"/>
          <w:sz w:val="32"/>
          <w:rtl/>
        </w:rPr>
        <w:t>)</w:t>
      </w:r>
      <w:r>
        <w:rPr>
          <w:rFonts w:ascii="Simplified Arabic" w:hAnsi="Simplified Arabic" w:hint="cs"/>
          <w:color w:val="000000"/>
          <w:sz w:val="32"/>
          <w:rtl/>
        </w:rPr>
        <w:t>،</w:t>
      </w:r>
      <w:r>
        <w:rPr>
          <w:rStyle w:val="a4"/>
          <w:rFonts w:ascii="Simplified Arabic" w:hAnsi="Simplified Arabic"/>
          <w:color w:val="000000"/>
          <w:sz w:val="32"/>
          <w:rtl/>
        </w:rPr>
        <w:footnoteReference w:id="2"/>
      </w:r>
      <w:r>
        <w:rPr>
          <w:rFonts w:ascii="Simplified Arabic" w:hAnsi="Simplified Arabic" w:hint="cs"/>
          <w:color w:val="000000"/>
          <w:sz w:val="32"/>
          <w:rtl/>
        </w:rPr>
        <w:t xml:space="preserve"> متأثرين في ذلك بفلسفة الأشكال الرمزية عند "كاسيرير" وإلى الفلسفة الماركسية.</w:t>
      </w:r>
      <w:r>
        <w:rPr>
          <w:rStyle w:val="a4"/>
          <w:rFonts w:ascii="Simplified Arabic" w:hAnsi="Simplified Arabic"/>
          <w:color w:val="000000"/>
          <w:sz w:val="32"/>
          <w:rtl/>
        </w:rPr>
        <w:footnoteReference w:id="3"/>
      </w:r>
    </w:p>
    <w:p w:rsidR="00283831" w:rsidRPr="00AE058D" w:rsidRDefault="00283831" w:rsidP="00283831">
      <w:pPr>
        <w:spacing w:after="200"/>
        <w:rPr>
          <w:rFonts w:ascii="Simplified Arabic" w:hAnsi="Simplified Arabic"/>
          <w:b/>
          <w:sz w:val="32"/>
          <w:rtl/>
          <w:lang w:val="fr-FR" w:bidi="ar-DZ"/>
        </w:rPr>
      </w:pPr>
      <w:r>
        <w:rPr>
          <w:rFonts w:ascii="Simplified Arabic" w:hAnsi="Simplified Arabic" w:hint="cs"/>
          <w:b/>
          <w:sz w:val="32"/>
          <w:rtl/>
          <w:lang w:val="fr-FR" w:bidi="ar-DZ"/>
        </w:rPr>
        <w:t xml:space="preserve">كما </w:t>
      </w:r>
      <w:r w:rsidRPr="00AE058D">
        <w:rPr>
          <w:rFonts w:ascii="Simplified Arabic" w:hAnsi="Simplified Arabic" w:hint="cs"/>
          <w:b/>
          <w:sz w:val="32"/>
          <w:rtl/>
          <w:lang w:val="fr-FR" w:bidi="ar-DZ"/>
        </w:rPr>
        <w:t xml:space="preserve">تنطلق سيميولوجيا الثقافة من اعتبار </w:t>
      </w:r>
      <w:r>
        <w:rPr>
          <w:rFonts w:ascii="Simplified Arabic" w:hAnsi="Simplified Arabic" w:hint="cs"/>
          <w:b/>
          <w:sz w:val="32"/>
          <w:rtl/>
          <w:lang w:val="fr-FR" w:bidi="ar-DZ"/>
        </w:rPr>
        <w:t>الظواهر الثقافية موضوعات تواصلية وأنساقا دلالية ،</w:t>
      </w:r>
      <w:r>
        <w:rPr>
          <w:rStyle w:val="a4"/>
          <w:rFonts w:ascii="Simplified Arabic" w:hAnsi="Simplified Arabic"/>
          <w:b/>
          <w:sz w:val="32"/>
          <w:rtl/>
          <w:lang w:val="fr-FR" w:bidi="ar-DZ"/>
        </w:rPr>
        <w:footnoteReference w:id="4"/>
      </w:r>
      <w:r>
        <w:rPr>
          <w:rFonts w:ascii="Simplified Arabic" w:hAnsi="Simplified Arabic" w:hint="cs"/>
          <w:b/>
          <w:sz w:val="32"/>
          <w:rtl/>
          <w:lang w:val="fr-FR" w:bidi="ar-DZ"/>
        </w:rPr>
        <w:t>كما يذهب أنصار هذا الاتجاه إلى أن العلامة لايمكن أن تكتسب معنى إلا من خلال وضعها في إطارها الثقافي؛</w:t>
      </w:r>
      <w:r>
        <w:rPr>
          <w:rStyle w:val="a4"/>
          <w:rFonts w:ascii="Simplified Arabic" w:hAnsi="Simplified Arabic"/>
          <w:b/>
          <w:sz w:val="32"/>
          <w:rtl/>
          <w:lang w:val="fr-FR" w:bidi="ar-DZ"/>
        </w:rPr>
        <w:footnoteReference w:id="5"/>
      </w:r>
      <w:r>
        <w:rPr>
          <w:rFonts w:ascii="Simplified Arabic" w:hAnsi="Simplified Arabic" w:hint="cs"/>
          <w:b/>
          <w:sz w:val="32"/>
          <w:rtl/>
          <w:lang w:val="fr-FR" w:bidi="ar-DZ"/>
        </w:rPr>
        <w:t>بمعنى أن العلامة لامكن فهما خارج سياقها الثقافي.</w:t>
      </w:r>
    </w:p>
    <w:p w:rsidR="00283831" w:rsidRDefault="00283831" w:rsidP="00283831">
      <w:pPr>
        <w:rPr>
          <w:lang w:bidi="ar-DZ"/>
        </w:rPr>
      </w:pPr>
    </w:p>
    <w:p w:rsidR="009C621E" w:rsidRPr="00283831" w:rsidRDefault="009C621E"/>
    <w:sectPr w:rsidR="009C621E" w:rsidRPr="00283831"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0DA" w:rsidRDefault="003D10DA" w:rsidP="00283831">
      <w:r>
        <w:separator/>
      </w:r>
    </w:p>
  </w:endnote>
  <w:endnote w:type="continuationSeparator" w:id="1">
    <w:p w:rsidR="003D10DA" w:rsidRDefault="003D10DA" w:rsidP="00283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0DA" w:rsidRDefault="003D10DA" w:rsidP="00283831">
      <w:r>
        <w:separator/>
      </w:r>
    </w:p>
  </w:footnote>
  <w:footnote w:type="continuationSeparator" w:id="1">
    <w:p w:rsidR="003D10DA" w:rsidRDefault="003D10DA" w:rsidP="00283831">
      <w:r>
        <w:continuationSeparator/>
      </w:r>
    </w:p>
  </w:footnote>
  <w:footnote w:id="2">
    <w:p w:rsidR="00283831" w:rsidRDefault="00283831" w:rsidP="00283831">
      <w:pPr>
        <w:pStyle w:val="a3"/>
      </w:pPr>
      <w:r>
        <w:rPr>
          <w:rStyle w:val="a4"/>
        </w:rPr>
        <w:footnoteRef/>
      </w:r>
      <w:r>
        <w:rPr>
          <w:rtl/>
        </w:rPr>
        <w:t xml:space="preserve"> </w:t>
      </w:r>
      <w:r w:rsidRPr="0082629C">
        <w:rPr>
          <w:rFonts w:ascii="Simplified Arabic" w:hAnsi="Simplified Arabic" w:cs="Simplified Arabic"/>
          <w:sz w:val="24"/>
          <w:szCs w:val="24"/>
          <w:rtl/>
        </w:rPr>
        <w:t>يُنظر:عبد الله إبراهيم وآخرون- مدخل  إلى المناهج النقدية الحديثة</w:t>
      </w:r>
      <w:r>
        <w:rPr>
          <w:rFonts w:ascii="Simplified Arabic" w:hAnsi="Simplified Arabic" w:cs="Simplified Arabic" w:hint="cs"/>
          <w:sz w:val="24"/>
          <w:szCs w:val="24"/>
          <w:rtl/>
        </w:rPr>
        <w:t>،ص106ص</w:t>
      </w:r>
      <w:r w:rsidRPr="0082629C">
        <w:rPr>
          <w:rFonts w:ascii="Simplified Arabic" w:hAnsi="Simplified Arabic" w:cs="Simplified Arabic"/>
          <w:sz w:val="24"/>
          <w:szCs w:val="24"/>
          <w:rtl/>
        </w:rPr>
        <w:t>.</w:t>
      </w:r>
    </w:p>
  </w:footnote>
  <w:footnote w:id="3">
    <w:p w:rsidR="00283831" w:rsidRDefault="00283831" w:rsidP="00283831">
      <w:pPr>
        <w:pStyle w:val="a3"/>
      </w:pPr>
      <w:r>
        <w:rPr>
          <w:rStyle w:val="a4"/>
        </w:rPr>
        <w:footnoteRef/>
      </w:r>
      <w:r>
        <w:rPr>
          <w:rtl/>
        </w:rPr>
        <w:t xml:space="preserve"> </w:t>
      </w:r>
      <w:r w:rsidRPr="008C2FF8">
        <w:rPr>
          <w:rFonts w:ascii="Simplified Arabic" w:hAnsi="Simplified Arabic" w:cs="Simplified Arabic"/>
          <w:sz w:val="24"/>
          <w:szCs w:val="24"/>
          <w:rtl/>
        </w:rPr>
        <w:t xml:space="preserve">يُنظر: </w:t>
      </w:r>
      <w:r w:rsidRPr="008C2FF8">
        <w:rPr>
          <w:rFonts w:ascii="Simplified Arabic" w:eastAsia="Calibri" w:hAnsi="Simplified Arabic" w:cs="Simplified Arabic"/>
          <w:color w:val="000000"/>
          <w:sz w:val="24"/>
          <w:szCs w:val="24"/>
          <w:rtl/>
        </w:rPr>
        <w:t>فيصل الأحمر، معجم السيميائيات، ص 9</w:t>
      </w:r>
      <w:r>
        <w:rPr>
          <w:rFonts w:ascii="Simplified Arabic" w:eastAsia="Calibri" w:hAnsi="Simplified Arabic" w:cs="Simplified Arabic" w:hint="cs"/>
          <w:color w:val="000000"/>
          <w:sz w:val="24"/>
          <w:szCs w:val="24"/>
          <w:rtl/>
        </w:rPr>
        <w:t>7</w:t>
      </w:r>
      <w:r w:rsidRPr="008C2FF8">
        <w:rPr>
          <w:rFonts w:ascii="Simplified Arabic" w:eastAsia="Calibri" w:hAnsi="Simplified Arabic" w:cs="Simplified Arabic"/>
          <w:color w:val="000000"/>
          <w:sz w:val="24"/>
          <w:szCs w:val="24"/>
          <w:rtl/>
        </w:rPr>
        <w:t>.</w:t>
      </w:r>
    </w:p>
  </w:footnote>
  <w:footnote w:id="4">
    <w:p w:rsidR="00283831" w:rsidRPr="00AE058D" w:rsidRDefault="00283831" w:rsidP="00283831">
      <w:pPr>
        <w:pStyle w:val="a3"/>
        <w:rPr>
          <w:rFonts w:ascii="Simplified Arabic" w:hAnsi="Simplified Arabic" w:cs="Simplified Arabic"/>
          <w:sz w:val="24"/>
          <w:szCs w:val="24"/>
        </w:rPr>
      </w:pPr>
      <w:r w:rsidRPr="00AE058D">
        <w:rPr>
          <w:rStyle w:val="a4"/>
          <w:rFonts w:ascii="Simplified Arabic" w:hAnsi="Simplified Arabic" w:cs="Simplified Arabic"/>
          <w:sz w:val="24"/>
          <w:szCs w:val="24"/>
        </w:rPr>
        <w:footnoteRef/>
      </w:r>
      <w:r w:rsidRPr="00AE058D">
        <w:rPr>
          <w:rFonts w:ascii="Simplified Arabic" w:hAnsi="Simplified Arabic" w:cs="Simplified Arabic"/>
          <w:sz w:val="24"/>
          <w:szCs w:val="24"/>
          <w:rtl/>
        </w:rPr>
        <w:t xml:space="preserve"> يُنظر:نفس المرجع،نفس الصفحة.</w:t>
      </w:r>
    </w:p>
  </w:footnote>
  <w:footnote w:id="5">
    <w:p w:rsidR="00283831" w:rsidRDefault="00283831" w:rsidP="00283831">
      <w:pPr>
        <w:pStyle w:val="a3"/>
      </w:pPr>
      <w:r>
        <w:rPr>
          <w:rStyle w:val="a4"/>
        </w:rPr>
        <w:footnoteRef/>
      </w:r>
      <w:r>
        <w:rPr>
          <w:rtl/>
        </w:rPr>
        <w:t xml:space="preserve"> </w:t>
      </w:r>
      <w:r w:rsidRPr="0082629C">
        <w:rPr>
          <w:rFonts w:ascii="Simplified Arabic" w:hAnsi="Simplified Arabic" w:cs="Simplified Arabic"/>
          <w:sz w:val="24"/>
          <w:szCs w:val="24"/>
          <w:rtl/>
        </w:rPr>
        <w:t>يُنظر:عبد الله إبراهيم وآخرون- مدخل  إلى المناهج النقدية الحديثة</w:t>
      </w:r>
      <w:r>
        <w:rPr>
          <w:rFonts w:ascii="Simplified Arabic" w:hAnsi="Simplified Arabic" w:cs="Simplified Arabic" w:hint="cs"/>
          <w:sz w:val="24"/>
          <w:szCs w:val="24"/>
          <w:rtl/>
        </w:rPr>
        <w:t>،ص107ص</w:t>
      </w:r>
      <w:r w:rsidRPr="0082629C">
        <w:rPr>
          <w:rFonts w:ascii="Simplified Arabic" w:hAnsi="Simplified Arabic" w:cs="Simplified Arabic"/>
          <w:sz w:val="24"/>
          <w:szCs w:val="24"/>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83831"/>
    <w:rsid w:val="00283831"/>
    <w:rsid w:val="003D10DA"/>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83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83831"/>
    <w:rPr>
      <w:rFonts w:eastAsia="Times New Roman" w:cs="Times New Roman"/>
      <w:sz w:val="20"/>
      <w:szCs w:val="20"/>
    </w:rPr>
  </w:style>
  <w:style w:type="character" w:customStyle="1" w:styleId="Char">
    <w:name w:val="نص حاشية سفلية Char"/>
    <w:basedOn w:val="a0"/>
    <w:link w:val="a3"/>
    <w:uiPriority w:val="99"/>
    <w:rsid w:val="00283831"/>
    <w:rPr>
      <w:rFonts w:ascii="Times New Roman" w:eastAsia="Times New Roman" w:hAnsi="Times New Roman" w:cs="Times New Roman"/>
      <w:sz w:val="20"/>
      <w:szCs w:val="20"/>
      <w:lang w:val="en-US"/>
    </w:rPr>
  </w:style>
  <w:style w:type="character" w:styleId="a4">
    <w:name w:val="footnote reference"/>
    <w:uiPriority w:val="99"/>
    <w:unhideWhenUsed/>
    <w:rsid w:val="002838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637</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2021-02-02T05:48:00Z</dcterms:created>
  <dcterms:modified xsi:type="dcterms:W3CDTF">2021-02-02T05:49:00Z</dcterms:modified>
</cp:coreProperties>
</file>