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1B" w:rsidRPr="00601E88" w:rsidRDefault="0051031B" w:rsidP="0051031B">
      <w:pPr>
        <w:rPr>
          <w:rFonts w:ascii="Simplified Arabic" w:hAnsi="Simplified Arabic"/>
          <w:sz w:val="32"/>
          <w:rtl/>
        </w:rPr>
      </w:pPr>
    </w:p>
    <w:p w:rsidR="0051031B" w:rsidRPr="00601E88" w:rsidRDefault="0051031B" w:rsidP="0051031B">
      <w:pPr>
        <w:rPr>
          <w:rFonts w:ascii="Simplified Arabic" w:hAnsi="Simplified Arabic"/>
          <w:sz w:val="32"/>
          <w:rtl/>
        </w:rPr>
      </w:pPr>
      <w:r w:rsidRPr="00601E88">
        <w:rPr>
          <w:rFonts w:ascii="Simplified Arabic" w:hAnsi="Simplified Arabic"/>
          <w:b/>
          <w:bCs/>
          <w:sz w:val="32"/>
          <w:u w:val="single"/>
          <w:rtl/>
        </w:rPr>
        <w:t>6-4:الأسلوبية الإحصائية:</w:t>
      </w:r>
      <w:r w:rsidRPr="00601E88">
        <w:rPr>
          <w:rFonts w:ascii="Simplified Arabic" w:hAnsi="Simplified Arabic"/>
          <w:sz w:val="32"/>
          <w:rtl/>
        </w:rPr>
        <w:t xml:space="preserve">   </w:t>
      </w:r>
    </w:p>
    <w:p w:rsidR="0051031B" w:rsidRPr="00601E88" w:rsidRDefault="0051031B" w:rsidP="0051031B">
      <w:pPr>
        <w:rPr>
          <w:rFonts w:ascii="Simplified Arabic" w:eastAsia="Times New Roman" w:hAnsi="Simplified Arabic"/>
          <w:sz w:val="32"/>
          <w:rtl/>
          <w:lang w:eastAsia="fr-FR" w:bidi="ar-DZ"/>
        </w:rPr>
      </w:pPr>
      <w:r w:rsidRPr="00601E88">
        <w:rPr>
          <w:rFonts w:ascii="Simplified Arabic" w:hAnsi="Simplified Arabic"/>
          <w:sz w:val="32"/>
          <w:rtl/>
        </w:rPr>
        <w:t xml:space="preserve">       وتنطلق من فرضية إمكان الوصول إلى الملامح الأسلوبية للنص الأدبي عن طريق الكم،(3)</w:t>
      </w:r>
      <w:r w:rsidRPr="00601E88">
        <w:rPr>
          <w:rFonts w:ascii="Simplified Arabic" w:eastAsia="Times New Roman" w:hAnsi="Simplified Arabic"/>
          <w:sz w:val="32"/>
          <w:rtl/>
          <w:lang w:eastAsia="fr-FR" w:bidi="ar-DZ"/>
        </w:rPr>
        <w:t xml:space="preserve">كما تعتمد </w:t>
      </w:r>
    </w:p>
    <w:p w:rsidR="0051031B" w:rsidRPr="00601E88" w:rsidRDefault="0051031B" w:rsidP="0051031B">
      <w:pPr>
        <w:rPr>
          <w:rFonts w:ascii="Simplified Arabic" w:eastAsia="Times New Roman" w:hAnsi="Simplified Arabic"/>
          <w:sz w:val="32"/>
          <w:rtl/>
          <w:lang w:eastAsia="fr-FR" w:bidi="ar-DZ"/>
        </w:rPr>
      </w:pPr>
      <w:r w:rsidRPr="00601E88">
        <w:rPr>
          <w:rFonts w:ascii="Simplified Arabic" w:eastAsia="Times New Roman" w:hAnsi="Simplified Arabic"/>
          <w:sz w:val="32"/>
          <w:rtl/>
          <w:lang w:eastAsia="fr-FR" w:bidi="ar-DZ"/>
        </w:rPr>
        <w:t>على منهج الإحصاء الرياضي وبها يتم قياس الانحراف أو الإنزياح أو السمات الأسلوبية المنتظمة وغير المنتظمة داخل الخطاب الأدبي،كما أنها تقترح إبعاد الحدس لصالح القيم العددية، وتجتهد لتحقيق هذا الهدف بتعداد العناصر المعجمية في النص كما يرى"</w:t>
      </w:r>
      <w:r w:rsidRPr="00601E88">
        <w:rPr>
          <w:rFonts w:ascii="Simplified Arabic" w:eastAsia="Times New Roman" w:hAnsi="Simplified Arabic"/>
          <w:b/>
          <w:bCs/>
          <w:sz w:val="32"/>
          <w:rtl/>
          <w:lang w:eastAsia="fr-FR" w:bidi="ar-DZ"/>
        </w:rPr>
        <w:t>بيير جيرو</w:t>
      </w:r>
      <w:r w:rsidRPr="00601E88">
        <w:rPr>
          <w:rFonts w:ascii="Simplified Arabic" w:eastAsia="Times New Roman" w:hAnsi="Simplified Arabic"/>
          <w:sz w:val="32"/>
          <w:rtl/>
          <w:lang w:eastAsia="fr-FR" w:bidi="ar-DZ"/>
        </w:rPr>
        <w:t>"، أو بالنظر إلى متوسط طول الكلمات والجمل، أو العلاقات بينها كما يرى"</w:t>
      </w:r>
      <w:r w:rsidRPr="00601E88">
        <w:rPr>
          <w:rFonts w:ascii="Simplified Arabic" w:eastAsia="Times New Roman" w:hAnsi="Simplified Arabic"/>
          <w:b/>
          <w:bCs/>
          <w:sz w:val="32"/>
          <w:rtl/>
          <w:lang w:eastAsia="fr-FR" w:bidi="ar-DZ"/>
        </w:rPr>
        <w:t>فيك</w:t>
      </w:r>
      <w:r w:rsidRPr="00601E88">
        <w:rPr>
          <w:rFonts w:ascii="Simplified Arabic" w:eastAsia="Times New Roman" w:hAnsi="Simplified Arabic"/>
          <w:sz w:val="32"/>
          <w:rtl/>
          <w:lang w:eastAsia="fr-FR" w:bidi="ar-DZ"/>
        </w:rPr>
        <w:t>"، أو العلاقات بين النعوت والأسماء والأفعال كما يرى"</w:t>
      </w:r>
      <w:r w:rsidRPr="00601E88">
        <w:rPr>
          <w:rFonts w:ascii="Simplified Arabic" w:eastAsia="Times New Roman" w:hAnsi="Simplified Arabic"/>
          <w:b/>
          <w:bCs/>
          <w:sz w:val="32"/>
          <w:rtl/>
          <w:lang w:eastAsia="fr-FR" w:bidi="ar-DZ"/>
        </w:rPr>
        <w:t>ميل</w:t>
      </w:r>
      <w:r w:rsidRPr="00601E88">
        <w:rPr>
          <w:rFonts w:ascii="Simplified Arabic" w:eastAsia="Times New Roman" w:hAnsi="Simplified Arabic"/>
          <w:sz w:val="32"/>
          <w:rtl/>
          <w:lang w:eastAsia="fr-FR" w:bidi="ar-DZ"/>
        </w:rPr>
        <w:t>" ثم مقارنة هذه العلاقات الكمية مع مثيلاتها في نصوص أخرى.(4)</w:t>
      </w:r>
    </w:p>
    <w:p w:rsidR="0051031B" w:rsidRPr="00601E88" w:rsidRDefault="0051031B" w:rsidP="0051031B">
      <w:pPr>
        <w:rPr>
          <w:rFonts w:ascii="Simplified Arabic" w:eastAsia="Times New Roman" w:hAnsi="Simplified Arabic"/>
          <w:sz w:val="32"/>
          <w:rtl/>
          <w:lang w:eastAsia="fr-FR" w:bidi="ar-DZ"/>
        </w:rPr>
      </w:pPr>
      <w:r w:rsidRPr="00601E88">
        <w:rPr>
          <w:rStyle w:val="a4"/>
          <w:rFonts w:ascii="Simplified Arabic" w:eastAsia="Times New Roman" w:hAnsi="Simplified Arabic"/>
          <w:color w:val="FFFFFF"/>
          <w:sz w:val="32"/>
          <w:rtl/>
          <w:lang w:eastAsia="fr-FR" w:bidi="ar-DZ"/>
        </w:rPr>
        <w:footnoteReference w:id="2"/>
      </w:r>
      <w:r w:rsidRPr="00601E88">
        <w:rPr>
          <w:rFonts w:ascii="Simplified Arabic" w:eastAsia="Times New Roman" w:hAnsi="Simplified Arabic"/>
          <w:sz w:val="32"/>
          <w:rtl/>
          <w:lang w:eastAsia="fr-FR" w:bidi="ar-DZ"/>
        </w:rPr>
        <w:t xml:space="preserve">    إن الواقع الإحصائي مختلف عن الواقع الأسلوبي، فالأول-الواقع الإحصائي- متعلق بقيم رياضية جبرية أو حسابية، والثاني-الواقع الأسلوبي- متعلق بقيم أدبية، إلا أن الواقع الأدبي قد يخضع للإحصاء وذلك لأن فيه وحدات يمكن تعدادها كالبيت أو التفعيلة أو الجزء في الشعر، والجملة والمستفرد والمستوصت والوحدات النغمية وغيرها[...]وهذا يعني أن النصوص الأدبية ليست واقعا كيفيا بل هي خاضعة أيضا للتكميم.(1)</w:t>
      </w:r>
    </w:p>
    <w:p w:rsidR="0051031B" w:rsidRPr="00601E88" w:rsidRDefault="0051031B" w:rsidP="0051031B">
      <w:pPr>
        <w:rPr>
          <w:rFonts w:ascii="Simplified Arabic" w:eastAsia="Times New Roman" w:hAnsi="Simplified Arabic"/>
          <w:sz w:val="32"/>
          <w:rtl/>
          <w:lang w:eastAsia="fr-FR"/>
        </w:rPr>
      </w:pPr>
      <w:r w:rsidRPr="00601E88">
        <w:rPr>
          <w:rFonts w:ascii="Simplified Arabic" w:eastAsia="Times New Roman" w:hAnsi="Simplified Arabic"/>
          <w:sz w:val="32"/>
          <w:rtl/>
          <w:lang w:eastAsia="fr-FR" w:bidi="ar-DZ"/>
        </w:rPr>
        <w:t xml:space="preserve">       ومن الذين مثلوا هذا الاتجاه في فرنسا (</w:t>
      </w:r>
      <w:r w:rsidRPr="00601E88">
        <w:rPr>
          <w:rFonts w:ascii="Simplified Arabic" w:eastAsia="Times New Roman" w:hAnsi="Simplified Arabic"/>
          <w:b/>
          <w:bCs/>
          <w:sz w:val="32"/>
          <w:rtl/>
          <w:lang w:eastAsia="fr-FR" w:bidi="ar-DZ"/>
        </w:rPr>
        <w:t>بيارجيرو</w:t>
      </w:r>
      <w:r w:rsidRPr="00601E88">
        <w:rPr>
          <w:rFonts w:ascii="Simplified Arabic" w:eastAsia="Times New Roman" w:hAnsi="Simplified Arabic"/>
          <w:sz w:val="32"/>
          <w:rtl/>
          <w:lang w:eastAsia="fr-FR" w:bidi="ar-DZ"/>
        </w:rPr>
        <w:t>) و(</w:t>
      </w:r>
      <w:r w:rsidRPr="00601E88">
        <w:rPr>
          <w:rFonts w:ascii="Simplified Arabic" w:eastAsia="Times New Roman" w:hAnsi="Simplified Arabic"/>
          <w:b/>
          <w:bCs/>
          <w:sz w:val="32"/>
          <w:rtl/>
          <w:lang w:eastAsia="fr-FR" w:bidi="ar-DZ"/>
        </w:rPr>
        <w:t>مولر</w:t>
      </w:r>
      <w:r w:rsidRPr="00601E88">
        <w:rPr>
          <w:rFonts w:ascii="Simplified Arabic" w:eastAsia="Times New Roman" w:hAnsi="Simplified Arabic"/>
          <w:sz w:val="32"/>
          <w:rtl/>
          <w:lang w:eastAsia="fr-FR" w:bidi="ar-DZ"/>
        </w:rPr>
        <w:t xml:space="preserve">) أما أهم النقاط البارزة التي اعتمدها دعاة الأسلوبية الإحصائية: </w:t>
      </w:r>
    </w:p>
    <w:p w:rsidR="0051031B" w:rsidRPr="00601E88" w:rsidRDefault="0051031B" w:rsidP="0051031B">
      <w:pPr>
        <w:tabs>
          <w:tab w:val="num" w:pos="431"/>
        </w:tabs>
        <w:ind w:hanging="360"/>
        <w:rPr>
          <w:rFonts w:ascii="Simplified Arabic" w:eastAsia="Times New Roman" w:hAnsi="Simplified Arabic"/>
          <w:sz w:val="32"/>
          <w:rtl/>
          <w:lang w:eastAsia="fr-FR"/>
        </w:rPr>
      </w:pPr>
      <w:r w:rsidRPr="00601E88">
        <w:rPr>
          <w:rFonts w:ascii="Simplified Arabic" w:eastAsia="Symbol" w:hAnsi="Simplified Arabic"/>
          <w:sz w:val="32"/>
          <w:rtl/>
          <w:lang w:eastAsia="fr-FR"/>
        </w:rPr>
        <w:t xml:space="preserve">-  </w:t>
      </w:r>
      <w:r w:rsidRPr="00601E88">
        <w:rPr>
          <w:rFonts w:ascii="Simplified Arabic" w:eastAsia="Times New Roman" w:hAnsi="Simplified Arabic"/>
          <w:sz w:val="32"/>
          <w:rtl/>
          <w:lang w:eastAsia="fr-FR" w:bidi="ar-DZ"/>
        </w:rPr>
        <w:t>لا يصلح هذا المنهج إلا لبعض النصوص التي تتوافر فيها سمات أسلوبية بارزة وظاهرة لا تخفى على قارئ عادي.</w:t>
      </w:r>
    </w:p>
    <w:p w:rsidR="0051031B" w:rsidRPr="00601E88" w:rsidRDefault="0051031B" w:rsidP="0051031B">
      <w:pPr>
        <w:tabs>
          <w:tab w:val="num" w:pos="431"/>
        </w:tabs>
        <w:ind w:hanging="360"/>
        <w:rPr>
          <w:rFonts w:ascii="Simplified Arabic" w:eastAsia="Times New Roman" w:hAnsi="Simplified Arabic"/>
          <w:sz w:val="32"/>
          <w:rtl/>
          <w:lang w:eastAsia="fr-FR"/>
        </w:rPr>
      </w:pPr>
      <w:r w:rsidRPr="00601E88">
        <w:rPr>
          <w:rFonts w:ascii="Simplified Arabic" w:eastAsia="Symbol" w:hAnsi="Simplified Arabic"/>
          <w:sz w:val="32"/>
          <w:rtl/>
          <w:lang w:eastAsia="fr-FR"/>
        </w:rPr>
        <w:t xml:space="preserve">-      </w:t>
      </w:r>
      <w:r w:rsidRPr="00601E88">
        <w:rPr>
          <w:rFonts w:ascii="Simplified Arabic" w:eastAsia="Times New Roman" w:hAnsi="Simplified Arabic"/>
          <w:sz w:val="32"/>
          <w:rtl/>
          <w:lang w:eastAsia="fr-FR" w:bidi="ar-DZ"/>
        </w:rPr>
        <w:t>رصد دواعي وأسباب توارد وتكرار هذه السمات.</w:t>
      </w:r>
    </w:p>
    <w:p w:rsidR="0051031B" w:rsidRPr="00601E88" w:rsidRDefault="0051031B" w:rsidP="0051031B">
      <w:pPr>
        <w:tabs>
          <w:tab w:val="num" w:pos="431"/>
        </w:tabs>
        <w:ind w:hanging="360"/>
        <w:rPr>
          <w:rFonts w:ascii="Simplified Arabic" w:eastAsia="Times New Roman" w:hAnsi="Simplified Arabic"/>
          <w:sz w:val="32"/>
          <w:rtl/>
          <w:lang w:eastAsia="fr-FR"/>
        </w:rPr>
      </w:pPr>
      <w:r w:rsidRPr="00601E88">
        <w:rPr>
          <w:rFonts w:ascii="Simplified Arabic" w:eastAsia="Symbol" w:hAnsi="Simplified Arabic"/>
          <w:sz w:val="32"/>
          <w:rtl/>
          <w:lang w:eastAsia="fr-FR"/>
        </w:rPr>
        <w:t xml:space="preserve">-      </w:t>
      </w:r>
      <w:r w:rsidRPr="00601E88">
        <w:rPr>
          <w:rFonts w:ascii="Simplified Arabic" w:eastAsia="Times New Roman" w:hAnsi="Simplified Arabic"/>
          <w:sz w:val="32"/>
          <w:rtl/>
          <w:lang w:eastAsia="fr-FR" w:bidi="ar-DZ"/>
        </w:rPr>
        <w:t>رصد مناطق توارد وتكثيف هذه السمات في النصوص على شكل جداول .</w:t>
      </w:r>
    </w:p>
    <w:p w:rsidR="0051031B" w:rsidRPr="00601E88" w:rsidRDefault="0051031B" w:rsidP="0051031B">
      <w:pPr>
        <w:tabs>
          <w:tab w:val="num" w:pos="431"/>
        </w:tabs>
        <w:ind w:hanging="360"/>
        <w:rPr>
          <w:rFonts w:ascii="Simplified Arabic" w:eastAsia="Times New Roman" w:hAnsi="Simplified Arabic"/>
          <w:sz w:val="32"/>
          <w:rtl/>
          <w:lang w:eastAsia="fr-FR"/>
        </w:rPr>
      </w:pPr>
      <w:r w:rsidRPr="00601E88">
        <w:rPr>
          <w:rFonts w:ascii="Simplified Arabic" w:eastAsia="Times New Roman" w:hAnsi="Simplified Arabic"/>
          <w:sz w:val="32"/>
          <w:rtl/>
          <w:lang w:eastAsia="fr-FR" w:bidi="ar-DZ"/>
        </w:rPr>
        <w:lastRenderedPageBreak/>
        <w:t xml:space="preserve">    و رغم ماتقدمه المدرسة الإحصائية من خدمة للأسلوبية في مجال الأدبية إلا أنها تعرضت لانتقادات لاذعة من بعض النقاد الذين رأو فيها إجحافا في حق أحاسيس وشعور الكتاب والأدباء إذ لايمكن إحصاء أو قياس هذه الأحاسيس، ومن بين هذه النقائص نذكر:</w:t>
      </w:r>
      <w:r w:rsidRPr="00601E88">
        <w:rPr>
          <w:rFonts w:ascii="Simplified Arabic" w:eastAsia="Times New Roman" w:hAnsi="Simplified Arabic"/>
          <w:sz w:val="32"/>
          <w:rtl/>
          <w:lang w:eastAsia="fr-FR"/>
        </w:rPr>
        <w:t>(2)</w:t>
      </w:r>
    </w:p>
    <w:p w:rsidR="0051031B" w:rsidRPr="00601E88" w:rsidRDefault="0051031B" w:rsidP="0051031B">
      <w:pPr>
        <w:tabs>
          <w:tab w:val="num" w:pos="431"/>
        </w:tabs>
        <w:ind w:hanging="360"/>
        <w:rPr>
          <w:rFonts w:ascii="Simplified Arabic" w:eastAsia="Times New Roman" w:hAnsi="Simplified Arabic"/>
          <w:sz w:val="32"/>
          <w:rtl/>
          <w:lang w:eastAsia="fr-FR"/>
        </w:rPr>
      </w:pPr>
    </w:p>
    <w:p w:rsidR="0051031B" w:rsidRPr="00601E88" w:rsidRDefault="0051031B" w:rsidP="0051031B">
      <w:pPr>
        <w:pStyle w:val="a5"/>
        <w:numPr>
          <w:ilvl w:val="0"/>
          <w:numId w:val="1"/>
        </w:numPr>
        <w:spacing w:after="0" w:line="240" w:lineRule="auto"/>
        <w:jc w:val="lowKashida"/>
        <w:rPr>
          <w:rFonts w:ascii="Simplified Arabic" w:eastAsia="Times New Roman" w:hAnsi="Simplified Arabic" w:cs="Simplified Arabic"/>
          <w:sz w:val="32"/>
          <w:szCs w:val="32"/>
          <w:lang w:eastAsia="fr-FR" w:bidi="ar-DZ"/>
        </w:rPr>
      </w:pPr>
      <w:r w:rsidRPr="00601E88">
        <w:rPr>
          <w:rFonts w:ascii="Simplified Arabic" w:eastAsia="Times New Roman" w:hAnsi="Simplified Arabic" w:cs="Simplified Arabic"/>
          <w:sz w:val="32"/>
          <w:szCs w:val="32"/>
          <w:rtl/>
          <w:lang w:eastAsia="fr-FR" w:bidi="ar-DZ"/>
        </w:rPr>
        <w:t>الإحصاء يقتضي جهدا كبيرا قد يكون غير مطلوب في أحايين كثيرة.</w:t>
      </w:r>
    </w:p>
    <w:p w:rsidR="0051031B" w:rsidRPr="00601E88" w:rsidRDefault="0051031B" w:rsidP="0051031B">
      <w:pPr>
        <w:pStyle w:val="a5"/>
        <w:numPr>
          <w:ilvl w:val="0"/>
          <w:numId w:val="1"/>
        </w:numPr>
        <w:spacing w:after="0" w:line="240" w:lineRule="auto"/>
        <w:jc w:val="lowKashida"/>
        <w:rPr>
          <w:rFonts w:ascii="Simplified Arabic" w:eastAsia="Times New Roman" w:hAnsi="Simplified Arabic" w:cs="Simplified Arabic"/>
          <w:sz w:val="32"/>
          <w:szCs w:val="32"/>
          <w:lang w:eastAsia="fr-FR" w:bidi="ar-DZ"/>
        </w:rPr>
      </w:pPr>
      <w:r w:rsidRPr="00601E88">
        <w:rPr>
          <w:rFonts w:ascii="Simplified Arabic" w:eastAsia="Times New Roman" w:hAnsi="Simplified Arabic" w:cs="Simplified Arabic"/>
          <w:sz w:val="32"/>
          <w:szCs w:val="32"/>
          <w:rtl/>
          <w:lang w:eastAsia="fr-FR" w:bidi="ar-DZ"/>
        </w:rPr>
        <w:t>سيطرة الكم على الكيف مما يفقد دراسة الأسلوب هدفها الأساسي.</w:t>
      </w:r>
    </w:p>
    <w:p w:rsidR="0051031B" w:rsidRPr="00601E88" w:rsidRDefault="0051031B" w:rsidP="0051031B">
      <w:pPr>
        <w:pStyle w:val="a5"/>
        <w:numPr>
          <w:ilvl w:val="0"/>
          <w:numId w:val="1"/>
        </w:numPr>
        <w:spacing w:after="0" w:line="240" w:lineRule="auto"/>
        <w:jc w:val="lowKashida"/>
        <w:rPr>
          <w:rFonts w:ascii="Simplified Arabic" w:eastAsia="Times New Roman" w:hAnsi="Simplified Arabic" w:cs="Simplified Arabic"/>
          <w:sz w:val="32"/>
          <w:szCs w:val="32"/>
          <w:lang w:eastAsia="fr-FR" w:bidi="ar-DZ"/>
        </w:rPr>
      </w:pPr>
      <w:r w:rsidRPr="00601E88">
        <w:rPr>
          <w:rFonts w:ascii="Simplified Arabic" w:eastAsia="Times New Roman" w:hAnsi="Simplified Arabic" w:cs="Simplified Arabic"/>
          <w:sz w:val="32"/>
          <w:szCs w:val="32"/>
          <w:rtl/>
          <w:lang w:eastAsia="fr-FR" w:bidi="ar-DZ"/>
        </w:rPr>
        <w:t>إن الإفتنان بدقة الأرقام يوهم بدقة المنهج ولكنها قد تكون دقة مخادعة عند تناول الأعمال الادبية؛ لأن كثيرا من الظواهر تتداخل تداخلا عضويا، بحيث يصعب إحصاء واحدة منها إحصاءً منفردا.</w:t>
      </w:r>
    </w:p>
    <w:p w:rsidR="0051031B" w:rsidRPr="00601E88" w:rsidRDefault="0051031B" w:rsidP="0051031B">
      <w:pPr>
        <w:pStyle w:val="a5"/>
        <w:numPr>
          <w:ilvl w:val="0"/>
          <w:numId w:val="1"/>
        </w:numPr>
        <w:spacing w:after="0" w:line="240" w:lineRule="auto"/>
        <w:jc w:val="lowKashida"/>
        <w:rPr>
          <w:rFonts w:ascii="Simplified Arabic" w:eastAsia="Times New Roman" w:hAnsi="Simplified Arabic" w:cs="Simplified Arabic"/>
          <w:sz w:val="32"/>
          <w:szCs w:val="32"/>
          <w:lang w:eastAsia="fr-FR" w:bidi="ar-DZ"/>
        </w:rPr>
      </w:pPr>
      <w:r w:rsidRPr="00601E88">
        <w:rPr>
          <w:rFonts w:ascii="Simplified Arabic" w:eastAsia="Times New Roman" w:hAnsi="Simplified Arabic" w:cs="Simplified Arabic"/>
          <w:sz w:val="32"/>
          <w:szCs w:val="32"/>
          <w:rtl/>
          <w:lang w:eastAsia="fr-FR" w:bidi="ar-DZ"/>
        </w:rPr>
        <w:t>إن الإحصاء بهذا التفتيت الرقمي يفضي إلى خطر آخر هو فقدان السبيل إلى فهم تأثير السياق في العمل الأدبي، وهو مطلب مهم جدًا.</w:t>
      </w:r>
    </w:p>
    <w:p w:rsidR="0051031B" w:rsidRPr="00601E88" w:rsidRDefault="0051031B" w:rsidP="0051031B">
      <w:pPr>
        <w:pStyle w:val="a5"/>
        <w:numPr>
          <w:ilvl w:val="0"/>
          <w:numId w:val="1"/>
        </w:numPr>
        <w:spacing w:after="0" w:line="240" w:lineRule="auto"/>
        <w:jc w:val="lowKashida"/>
        <w:rPr>
          <w:rFonts w:ascii="Simplified Arabic" w:eastAsia="Times New Roman" w:hAnsi="Simplified Arabic" w:cs="Simplified Arabic"/>
          <w:sz w:val="32"/>
          <w:szCs w:val="32"/>
          <w:lang w:eastAsia="fr-FR" w:bidi="ar-DZ"/>
        </w:rPr>
      </w:pPr>
      <w:r w:rsidRPr="00601E88">
        <w:rPr>
          <w:rFonts w:ascii="Simplified Arabic" w:eastAsia="Times New Roman" w:hAnsi="Simplified Arabic" w:cs="Simplified Arabic"/>
          <w:sz w:val="32"/>
          <w:szCs w:val="32"/>
          <w:rtl/>
          <w:lang w:eastAsia="fr-FR" w:bidi="ar-DZ"/>
        </w:rPr>
        <w:t>إن الدقة الأحصائية لا تجدي نفعا في الإمساك ببعض المسائل الغامضة أو النسبية أو المرنة كالنغمات العاطفية والإيقاع الرقيق أو المركب.(3)</w:t>
      </w:r>
    </w:p>
    <w:p w:rsidR="0051031B" w:rsidRPr="00601E88" w:rsidRDefault="0051031B" w:rsidP="0051031B">
      <w:pPr>
        <w:numPr>
          <w:ilvl w:val="0"/>
          <w:numId w:val="1"/>
        </w:numPr>
        <w:rPr>
          <w:rFonts w:ascii="Simplified Arabic" w:eastAsia="Times New Roman" w:hAnsi="Simplified Arabic"/>
          <w:sz w:val="32"/>
          <w:rtl/>
          <w:lang w:eastAsia="fr-FR"/>
        </w:rPr>
      </w:pPr>
      <w:r w:rsidRPr="00601E88">
        <w:rPr>
          <w:rFonts w:ascii="Simplified Arabic" w:eastAsia="Times New Roman" w:hAnsi="Simplified Arabic"/>
          <w:sz w:val="32"/>
          <w:rtl/>
          <w:lang w:eastAsia="fr-FR" w:bidi="ar-DZ"/>
        </w:rPr>
        <w:t xml:space="preserve">        ومن بين أهم النقاد العرب المولعين بالمنهج الإحصائي نذكر على سبيل المثال:الدكتور "</w:t>
      </w:r>
      <w:r w:rsidRPr="00601E88">
        <w:rPr>
          <w:rFonts w:ascii="Simplified Arabic" w:eastAsia="Times New Roman" w:hAnsi="Simplified Arabic"/>
          <w:b/>
          <w:bCs/>
          <w:sz w:val="32"/>
          <w:rtl/>
          <w:lang w:eastAsia="fr-FR" w:bidi="ar-DZ"/>
        </w:rPr>
        <w:t>سعد مصلوح</w:t>
      </w:r>
      <w:r w:rsidRPr="00601E88">
        <w:rPr>
          <w:rFonts w:ascii="Simplified Arabic" w:eastAsia="Times New Roman" w:hAnsi="Simplified Arabic"/>
          <w:sz w:val="32"/>
          <w:rtl/>
          <w:lang w:eastAsia="fr-FR" w:bidi="ar-DZ"/>
        </w:rPr>
        <w:t>" والدكتور"</w:t>
      </w:r>
      <w:r w:rsidRPr="00601E88">
        <w:rPr>
          <w:rFonts w:ascii="Simplified Arabic" w:eastAsia="Times New Roman" w:hAnsi="Simplified Arabic"/>
          <w:b/>
          <w:bCs/>
          <w:sz w:val="32"/>
          <w:rtl/>
          <w:lang w:eastAsia="fr-FR" w:bidi="ar-DZ"/>
        </w:rPr>
        <w:t>محمد الهادي الطرابلسي</w:t>
      </w:r>
      <w:r w:rsidRPr="00601E88">
        <w:rPr>
          <w:rFonts w:ascii="Simplified Arabic" w:eastAsia="Times New Roman" w:hAnsi="Simplified Arabic"/>
          <w:sz w:val="32"/>
          <w:rtl/>
          <w:lang w:eastAsia="fr-FR" w:bidi="ar-DZ"/>
        </w:rPr>
        <w:t>"، أما أبرز رواد هذا المنهج في أوروبا الباحث والناقد "</w:t>
      </w:r>
      <w:r w:rsidRPr="00601E88">
        <w:rPr>
          <w:rFonts w:ascii="Simplified Arabic" w:eastAsia="Times New Roman" w:hAnsi="Simplified Arabic"/>
          <w:b/>
          <w:bCs/>
          <w:sz w:val="32"/>
          <w:rtl/>
          <w:lang w:eastAsia="fr-FR" w:bidi="ar-DZ"/>
        </w:rPr>
        <w:t xml:space="preserve">زامب </w:t>
      </w:r>
      <w:r w:rsidRPr="00601E88">
        <w:rPr>
          <w:rFonts w:ascii="Simplified Arabic" w:eastAsia="Times New Roman" w:hAnsi="Simplified Arabic"/>
          <w:b/>
          <w:bCs/>
          <w:sz w:val="32"/>
          <w:lang w:eastAsia="fr-FR"/>
        </w:rPr>
        <w:t>Zemab</w:t>
      </w:r>
      <w:r w:rsidRPr="00601E88">
        <w:rPr>
          <w:rFonts w:ascii="Simplified Arabic" w:eastAsia="Times New Roman" w:hAnsi="Simplified Arabic"/>
          <w:sz w:val="32"/>
          <w:rtl/>
          <w:lang w:eastAsia="fr-FR" w:bidi="ar-DZ"/>
        </w:rPr>
        <w:t>" صاحب مصطلح القياس الأسلوبي "</w:t>
      </w:r>
      <w:r w:rsidRPr="00601E88">
        <w:rPr>
          <w:rFonts w:ascii="Simplified Arabic" w:eastAsia="Times New Roman" w:hAnsi="Simplified Arabic"/>
          <w:b/>
          <w:bCs/>
          <w:sz w:val="32"/>
          <w:lang w:eastAsia="fr-FR"/>
        </w:rPr>
        <w:t xml:space="preserve">stylOmètre </w:t>
      </w:r>
      <w:r w:rsidRPr="00601E88">
        <w:rPr>
          <w:rFonts w:ascii="Simplified Arabic" w:eastAsia="Times New Roman" w:hAnsi="Simplified Arabic"/>
          <w:sz w:val="32"/>
          <w:rtl/>
          <w:lang w:eastAsia="fr-FR" w:bidi="ar-DZ"/>
        </w:rPr>
        <w:t>" والعالم "</w:t>
      </w:r>
      <w:r w:rsidRPr="00601E88">
        <w:rPr>
          <w:rFonts w:ascii="Simplified Arabic" w:eastAsia="Times New Roman" w:hAnsi="Simplified Arabic"/>
          <w:b/>
          <w:bCs/>
          <w:sz w:val="32"/>
          <w:rtl/>
          <w:lang w:eastAsia="fr-FR" w:bidi="ar-DZ"/>
        </w:rPr>
        <w:t>فول فوكس</w:t>
      </w:r>
      <w:r w:rsidRPr="00601E88">
        <w:rPr>
          <w:rFonts w:ascii="Simplified Arabic" w:eastAsia="Times New Roman" w:hAnsi="Simplified Arabic"/>
          <w:sz w:val="32"/>
          <w:rtl/>
          <w:lang w:eastAsia="fr-FR" w:bidi="ar-DZ"/>
        </w:rPr>
        <w:t xml:space="preserve"> </w:t>
      </w:r>
      <w:r w:rsidRPr="00601E88">
        <w:rPr>
          <w:rFonts w:ascii="Simplified Arabic" w:eastAsia="Times New Roman" w:hAnsi="Simplified Arabic"/>
          <w:b/>
          <w:bCs/>
          <w:sz w:val="32"/>
          <w:lang w:eastAsia="fr-FR"/>
        </w:rPr>
        <w:t>Facks</w:t>
      </w:r>
      <w:r w:rsidRPr="00601E88">
        <w:rPr>
          <w:rFonts w:ascii="Simplified Arabic" w:eastAsia="Times New Roman" w:hAnsi="Simplified Arabic"/>
          <w:sz w:val="32"/>
          <w:rtl/>
          <w:lang w:eastAsia="fr-FR" w:bidi="ar-DZ"/>
        </w:rPr>
        <w:t>".</w:t>
      </w:r>
    </w:p>
    <w:p w:rsidR="0051031B" w:rsidRPr="00601E88" w:rsidRDefault="0051031B" w:rsidP="0051031B">
      <w:pPr>
        <w:rPr>
          <w:rFonts w:ascii="Simplified Arabic" w:eastAsia="Times New Roman" w:hAnsi="Simplified Arabic"/>
          <w:sz w:val="32"/>
          <w:rtl/>
          <w:lang w:eastAsia="fr-FR"/>
        </w:rPr>
      </w:pPr>
    </w:p>
    <w:p w:rsidR="0051031B" w:rsidRDefault="0051031B" w:rsidP="0051031B"/>
    <w:p w:rsidR="009C621E" w:rsidRPr="0051031B" w:rsidRDefault="009C621E"/>
    <w:sectPr w:rsidR="009C621E" w:rsidRPr="0051031B"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453" w:rsidRDefault="00240453" w:rsidP="0051031B">
      <w:r>
        <w:separator/>
      </w:r>
    </w:p>
  </w:endnote>
  <w:endnote w:type="continuationSeparator" w:id="1">
    <w:p w:rsidR="00240453" w:rsidRDefault="00240453" w:rsidP="0051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453" w:rsidRDefault="00240453" w:rsidP="0051031B">
      <w:r>
        <w:separator/>
      </w:r>
    </w:p>
  </w:footnote>
  <w:footnote w:type="continuationSeparator" w:id="1">
    <w:p w:rsidR="00240453" w:rsidRDefault="00240453" w:rsidP="0051031B">
      <w:r>
        <w:continuationSeparator/>
      </w:r>
    </w:p>
  </w:footnote>
  <w:footnote w:id="2">
    <w:p w:rsidR="0051031B" w:rsidRPr="00564C50" w:rsidRDefault="0051031B" w:rsidP="0051031B">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الأمين هيثم: ملاحضات حول الإحصاء والإغناء في الدراسة الأسلوبية ،مجلة عالم الفكر العربي ، السنة الأولى، العددان 8-9، مارس1990، طرابلس، ليبيا، ص193.</w:t>
      </w:r>
    </w:p>
    <w:p w:rsidR="0051031B" w:rsidRPr="00564C50" w:rsidRDefault="0051031B" w:rsidP="0051031B">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مقيرش عثمان: الخطاب الشعري في ديوان (قالت الوردة لعثمان لوصيف)، ص 19.</w:t>
      </w:r>
    </w:p>
    <w:p w:rsidR="0051031B" w:rsidRPr="001E21E0" w:rsidRDefault="0051031B" w:rsidP="0051031B">
      <w:pPr>
        <w:pStyle w:val="a3"/>
        <w:numPr>
          <w:ilvl w:val="0"/>
          <w:numId w:val="2"/>
        </w:numPr>
        <w:ind w:left="360"/>
        <w:jc w:val="left"/>
        <w:rPr>
          <w:rFonts w:ascii="Simplified Arabic" w:hAnsi="Simplified Arabic" w:cs="Simplified Arabic"/>
          <w:sz w:val="24"/>
          <w:szCs w:val="24"/>
        </w:rPr>
      </w:pPr>
      <w:r w:rsidRPr="001E21E0">
        <w:rPr>
          <w:rFonts w:ascii="Simplified Arabic" w:hAnsi="Simplified Arabic" w:cs="Simplified Arabic"/>
          <w:sz w:val="24"/>
          <w:szCs w:val="24"/>
          <w:rtl/>
        </w:rPr>
        <w:t>الراجحي عبده:علم اللغة والنقد الادبي، فصول ، مجلة النقد الأدبي ،م1، العدد الثاني، يناير 1981، الكويت ، ص119.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B2FC1"/>
    <w:multiLevelType w:val="hybridMultilevel"/>
    <w:tmpl w:val="DE0851E4"/>
    <w:lvl w:ilvl="0" w:tplc="718CA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32EDB"/>
    <w:multiLevelType w:val="hybridMultilevel"/>
    <w:tmpl w:val="3A403782"/>
    <w:lvl w:ilvl="0" w:tplc="DB3C4D18">
      <w:numFmt w:val="bullet"/>
      <w:lvlText w:val="-"/>
      <w:lvlJc w:val="left"/>
      <w:pPr>
        <w:ind w:left="1140" w:hanging="360"/>
      </w:pPr>
      <w:rPr>
        <w:rFonts w:ascii="Calibri" w:eastAsia="Calibri" w:hAnsi="Calibri" w:cs="Traditional Arabic" w:hint="default"/>
        <w:b w:val="0"/>
        <w:bCs/>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1031B"/>
    <w:rsid w:val="00240453"/>
    <w:rsid w:val="0051031B"/>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1B"/>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1031B"/>
    <w:rPr>
      <w:rFonts w:eastAsia="Times New Roman" w:cs="Times New Roman"/>
      <w:sz w:val="20"/>
      <w:szCs w:val="20"/>
    </w:rPr>
  </w:style>
  <w:style w:type="character" w:customStyle="1" w:styleId="Char">
    <w:name w:val="نص حاشية سفلية Char"/>
    <w:basedOn w:val="a0"/>
    <w:link w:val="a3"/>
    <w:uiPriority w:val="99"/>
    <w:rsid w:val="0051031B"/>
    <w:rPr>
      <w:rFonts w:ascii="Times New Roman" w:eastAsia="Times New Roman" w:hAnsi="Times New Roman" w:cs="Times New Roman"/>
      <w:sz w:val="20"/>
      <w:szCs w:val="20"/>
      <w:lang w:val="en-US"/>
    </w:rPr>
  </w:style>
  <w:style w:type="character" w:styleId="a4">
    <w:name w:val="footnote reference"/>
    <w:uiPriority w:val="99"/>
    <w:unhideWhenUsed/>
    <w:rsid w:val="0051031B"/>
    <w:rPr>
      <w:vertAlign w:val="superscript"/>
    </w:rPr>
  </w:style>
  <w:style w:type="paragraph" w:styleId="a5">
    <w:name w:val="List Paragraph"/>
    <w:basedOn w:val="a"/>
    <w:uiPriority w:val="34"/>
    <w:qFormat/>
    <w:rsid w:val="0051031B"/>
    <w:pPr>
      <w:spacing w:after="200" w:line="276" w:lineRule="auto"/>
      <w:ind w:left="720"/>
      <w:contextualSpacing/>
      <w:jc w:val="left"/>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2021-02-02T06:16:00Z</dcterms:created>
  <dcterms:modified xsi:type="dcterms:W3CDTF">2021-02-02T06:16:00Z</dcterms:modified>
</cp:coreProperties>
</file>