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CB2" w:rsidRPr="00601E88" w:rsidRDefault="006F3CB2" w:rsidP="006F3CB2">
      <w:pPr>
        <w:rPr>
          <w:rFonts w:ascii="Simplified Arabic" w:hAnsi="Simplified Arabic"/>
          <w:b/>
          <w:bCs/>
          <w:sz w:val="32"/>
          <w:u w:val="single"/>
          <w:rtl/>
        </w:rPr>
      </w:pPr>
      <w:r w:rsidRPr="00601E88">
        <w:rPr>
          <w:rFonts w:ascii="Simplified Arabic" w:hAnsi="Simplified Arabic"/>
          <w:b/>
          <w:bCs/>
          <w:sz w:val="32"/>
          <w:u w:val="single"/>
          <w:rtl/>
        </w:rPr>
        <w:t>:الأسلوبية النفسية (الفردية):</w:t>
      </w:r>
    </w:p>
    <w:p w:rsidR="006F3CB2" w:rsidRPr="00601E88" w:rsidRDefault="006F3CB2" w:rsidP="006F3CB2">
      <w:pPr>
        <w:rPr>
          <w:rFonts w:ascii="Simplified Arabic" w:hAnsi="Simplified Arabic"/>
          <w:sz w:val="32"/>
          <w:rtl/>
        </w:rPr>
      </w:pPr>
      <w:r w:rsidRPr="00601E88">
        <w:rPr>
          <w:rFonts w:ascii="Simplified Arabic" w:hAnsi="Simplified Arabic"/>
          <w:sz w:val="32"/>
          <w:rtl/>
        </w:rPr>
        <w:t xml:space="preserve">       قطب هذه المدرسة العالم النمساوي "</w:t>
      </w:r>
      <w:r w:rsidRPr="00601E88">
        <w:rPr>
          <w:rFonts w:ascii="Simplified Arabic" w:hAnsi="Simplified Arabic"/>
          <w:b/>
          <w:bCs/>
          <w:sz w:val="32"/>
          <w:rtl/>
        </w:rPr>
        <w:t>ليوسبتزر</w:t>
      </w:r>
      <w:r w:rsidRPr="00601E88">
        <w:rPr>
          <w:rFonts w:ascii="Simplified Arabic" w:hAnsi="Simplified Arabic"/>
          <w:sz w:val="32"/>
          <w:rtl/>
        </w:rPr>
        <w:t>"وتلميذه العالم اللغوي الألماني "</w:t>
      </w:r>
      <w:r w:rsidRPr="00601E88">
        <w:rPr>
          <w:rFonts w:ascii="Simplified Arabic" w:hAnsi="Simplified Arabic"/>
          <w:b/>
          <w:bCs/>
          <w:sz w:val="32"/>
          <w:rtl/>
        </w:rPr>
        <w:t>كارل فوسلير</w:t>
      </w:r>
      <w:r w:rsidRPr="00601E88">
        <w:rPr>
          <w:rFonts w:ascii="Simplified Arabic" w:hAnsi="Simplified Arabic"/>
          <w:sz w:val="32"/>
          <w:rtl/>
        </w:rPr>
        <w:t>" وقد أسهمت كتبه في تطوير الدراسات الأسلوبية وأهمها (</w:t>
      </w:r>
      <w:r w:rsidRPr="00601E88">
        <w:rPr>
          <w:rFonts w:ascii="Simplified Arabic" w:hAnsi="Simplified Arabic"/>
          <w:b/>
          <w:bCs/>
          <w:sz w:val="32"/>
          <w:rtl/>
        </w:rPr>
        <w:t>دراسات في الأسلوب</w:t>
      </w:r>
      <w:r w:rsidRPr="00601E88">
        <w:rPr>
          <w:rFonts w:ascii="Simplified Arabic" w:hAnsi="Simplified Arabic"/>
          <w:sz w:val="32"/>
          <w:rtl/>
        </w:rPr>
        <w:t xml:space="preserve">) عام </w:t>
      </w:r>
      <w:r w:rsidRPr="00601E88">
        <w:rPr>
          <w:rFonts w:ascii="Simplified Arabic" w:hAnsi="Simplified Arabic"/>
          <w:b/>
          <w:bCs/>
          <w:sz w:val="32"/>
          <w:rtl/>
        </w:rPr>
        <w:t>1928م</w:t>
      </w:r>
      <w:r w:rsidRPr="00601E88">
        <w:rPr>
          <w:rFonts w:ascii="Simplified Arabic" w:hAnsi="Simplified Arabic"/>
          <w:sz w:val="32"/>
          <w:rtl/>
        </w:rPr>
        <w:t>، و(</w:t>
      </w:r>
      <w:r w:rsidRPr="00601E88">
        <w:rPr>
          <w:rFonts w:ascii="Simplified Arabic" w:hAnsi="Simplified Arabic"/>
          <w:b/>
          <w:bCs/>
          <w:sz w:val="32"/>
          <w:rtl/>
        </w:rPr>
        <w:t>الأسلوبية والنقد الأدبي</w:t>
      </w:r>
      <w:r w:rsidRPr="00601E88">
        <w:rPr>
          <w:rFonts w:ascii="Simplified Arabic" w:hAnsi="Simplified Arabic"/>
          <w:sz w:val="32"/>
          <w:rtl/>
        </w:rPr>
        <w:t>). كما أسهم هذا الإتجاه الأسلوبي في بلورة الإتجاه النفساني في البحث الأدبي، وقد مهد لظهور هذا الاتجاه الأسلوبي، الأسلوبية التعبيرية .</w:t>
      </w:r>
    </w:p>
    <w:p w:rsidR="006F3CB2" w:rsidRPr="00601E88" w:rsidRDefault="006F3CB2" w:rsidP="006F3CB2">
      <w:pPr>
        <w:rPr>
          <w:rFonts w:ascii="Simplified Arabic" w:hAnsi="Simplified Arabic"/>
          <w:sz w:val="32"/>
          <w:rtl/>
        </w:rPr>
      </w:pPr>
      <w:r w:rsidRPr="00601E88">
        <w:rPr>
          <w:rFonts w:ascii="Simplified Arabic" w:hAnsi="Simplified Arabic"/>
          <w:sz w:val="32"/>
          <w:rtl/>
        </w:rPr>
        <w:t xml:space="preserve">       ويعنى هذا الاتجاه الأسلوبي بمضمون الرسالة ونسيجها اللغوي مع مراعاتها لمكونات الحدث الأدبي الذي هو نتيجة لإنجاز الإنسان والكلام والفن، وهذا الاتجاه الأسلوبي تجاوز– في أغلب الأحيان- البحث في أوجه التراكيب ووظيفتها في نظام اللغة إلى العلل والأسباب المتعلقة بالخطاب الأدبي، ويعود سبب ذلك إلى اعتقاد أصحاب هذا الاتجاه بذاتية الأسلوب وفرديته، ولذلك فهو يدرس العلاقة بين وسائل التعبير والفرد؛دون إغفال علاقة هذه الوسائل التعبيرية بالجماعة التي تستعمل اللغة المنتج فيها الخطاب الأدبي المدروس.(</w:t>
      </w:r>
      <w:r w:rsidRPr="00601E88">
        <w:rPr>
          <w:rStyle w:val="a4"/>
          <w:rFonts w:ascii="Simplified Arabic" w:hAnsi="Simplified Arabic"/>
          <w:sz w:val="32"/>
          <w:rtl/>
        </w:rPr>
        <w:footnoteReference w:id="2"/>
      </w:r>
      <w:r w:rsidRPr="00601E88">
        <w:rPr>
          <w:rFonts w:ascii="Simplified Arabic" w:hAnsi="Simplified Arabic"/>
          <w:sz w:val="32"/>
          <w:rtl/>
        </w:rPr>
        <w:t>)</w:t>
      </w:r>
    </w:p>
    <w:p w:rsidR="006F3CB2" w:rsidRPr="00601E88" w:rsidRDefault="006F3CB2" w:rsidP="006F3CB2">
      <w:pPr>
        <w:rPr>
          <w:rFonts w:ascii="Simplified Arabic" w:hAnsi="Simplified Arabic"/>
          <w:sz w:val="32"/>
          <w:rtl/>
        </w:rPr>
      </w:pPr>
      <w:r w:rsidRPr="00601E88">
        <w:rPr>
          <w:rFonts w:ascii="Simplified Arabic" w:hAnsi="Simplified Arabic"/>
          <w:sz w:val="32"/>
          <w:rtl/>
        </w:rPr>
        <w:t xml:space="preserve">     وأهم ما يميز بحوث هذه المدرسة ما يلي:</w:t>
      </w:r>
    </w:p>
    <w:p w:rsidR="006F3CB2" w:rsidRPr="00601E88" w:rsidRDefault="006F3CB2" w:rsidP="006F3CB2">
      <w:pPr>
        <w:numPr>
          <w:ilvl w:val="0"/>
          <w:numId w:val="1"/>
        </w:numPr>
        <w:ind w:right="0"/>
        <w:rPr>
          <w:rFonts w:ascii="Simplified Arabic" w:hAnsi="Simplified Arabic"/>
          <w:sz w:val="32"/>
        </w:rPr>
      </w:pPr>
      <w:r w:rsidRPr="00601E88">
        <w:rPr>
          <w:rFonts w:ascii="Simplified Arabic" w:hAnsi="Simplified Arabic"/>
          <w:sz w:val="32"/>
          <w:rtl/>
        </w:rPr>
        <w:t>المنهج ينبع من الإنتاج وليس من مباديئ مسبقة، وكل عمل أدبي فهو مستقل بذاته.</w:t>
      </w:r>
    </w:p>
    <w:p w:rsidR="006F3CB2" w:rsidRPr="00601E88" w:rsidRDefault="006F3CB2" w:rsidP="006F3CB2">
      <w:pPr>
        <w:numPr>
          <w:ilvl w:val="0"/>
          <w:numId w:val="1"/>
        </w:numPr>
        <w:ind w:right="0"/>
        <w:rPr>
          <w:rFonts w:ascii="Simplified Arabic" w:hAnsi="Simplified Arabic"/>
          <w:sz w:val="32"/>
        </w:rPr>
      </w:pPr>
      <w:r w:rsidRPr="00601E88">
        <w:rPr>
          <w:rFonts w:ascii="Simplified Arabic" w:hAnsi="Simplified Arabic"/>
          <w:sz w:val="32"/>
          <w:rtl/>
        </w:rPr>
        <w:t>الإنتاج كل متكامل، وروح المؤلف هي المحور الشمسي الذي تدور حوله بقية كواكب العمل ونجومه، ولابد من البحث عن التلاحم الداخلي .(</w:t>
      </w:r>
      <w:r w:rsidRPr="00601E88">
        <w:rPr>
          <w:rStyle w:val="a4"/>
          <w:rFonts w:ascii="Simplified Arabic" w:hAnsi="Simplified Arabic"/>
          <w:sz w:val="32"/>
        </w:rPr>
        <w:footnoteReference w:id="3"/>
      </w:r>
      <w:r w:rsidRPr="00601E88">
        <w:rPr>
          <w:rFonts w:ascii="Simplified Arabic" w:hAnsi="Simplified Arabic"/>
          <w:sz w:val="32"/>
          <w:rtl/>
        </w:rPr>
        <w:t>)</w:t>
      </w:r>
    </w:p>
    <w:p w:rsidR="006F3CB2" w:rsidRPr="00601E88" w:rsidRDefault="006F3CB2" w:rsidP="006F3CB2">
      <w:pPr>
        <w:numPr>
          <w:ilvl w:val="0"/>
          <w:numId w:val="1"/>
        </w:numPr>
        <w:ind w:right="0"/>
        <w:rPr>
          <w:rFonts w:ascii="Simplified Arabic" w:hAnsi="Simplified Arabic"/>
          <w:sz w:val="32"/>
        </w:rPr>
      </w:pPr>
      <w:r w:rsidRPr="00601E88">
        <w:rPr>
          <w:rFonts w:ascii="Simplified Arabic" w:hAnsi="Simplified Arabic"/>
          <w:sz w:val="32"/>
          <w:rtl/>
        </w:rPr>
        <w:t>ينبغي أن تقودنا التفاصيل إلى (محور العمل الأدبي) ومن المحور نستطيع أن نرى من جديد التفاصيل،ويمكن أن نجد مفتاح العمل كله في واحدة من تفاصيله.</w:t>
      </w:r>
      <w:r w:rsidRPr="00601E88">
        <w:rPr>
          <w:rFonts w:ascii="Simplified Arabic" w:hAnsi="Simplified Arabic"/>
          <w:sz w:val="32"/>
        </w:rPr>
        <w:t xml:space="preserve"> </w:t>
      </w:r>
    </w:p>
    <w:p w:rsidR="006F3CB2" w:rsidRPr="00601E88" w:rsidRDefault="006F3CB2" w:rsidP="006F3CB2">
      <w:pPr>
        <w:numPr>
          <w:ilvl w:val="0"/>
          <w:numId w:val="1"/>
        </w:numPr>
        <w:ind w:right="0"/>
        <w:rPr>
          <w:rFonts w:ascii="Simplified Arabic" w:hAnsi="Simplified Arabic"/>
          <w:sz w:val="32"/>
        </w:rPr>
      </w:pPr>
      <w:r w:rsidRPr="00601E88">
        <w:rPr>
          <w:rFonts w:ascii="Simplified Arabic" w:hAnsi="Simplified Arabic"/>
          <w:sz w:val="32"/>
          <w:rtl/>
        </w:rPr>
        <w:t>نحن نخترق العمل ونصل إلى محوره من خلال(الحدس).(</w:t>
      </w:r>
      <w:r w:rsidRPr="00601E88">
        <w:rPr>
          <w:rStyle w:val="a4"/>
          <w:rFonts w:ascii="Simplified Arabic" w:hAnsi="Simplified Arabic"/>
          <w:sz w:val="32"/>
          <w:rtl/>
        </w:rPr>
        <w:footnoteReference w:id="4"/>
      </w:r>
      <w:r w:rsidRPr="00601E88">
        <w:rPr>
          <w:rFonts w:ascii="Simplified Arabic" w:hAnsi="Simplified Arabic"/>
          <w:sz w:val="32"/>
          <w:rtl/>
        </w:rPr>
        <w:t>).</w:t>
      </w:r>
    </w:p>
    <w:p w:rsidR="006F3CB2" w:rsidRPr="00601E88" w:rsidRDefault="006F3CB2" w:rsidP="006F3CB2">
      <w:pPr>
        <w:numPr>
          <w:ilvl w:val="0"/>
          <w:numId w:val="1"/>
        </w:numPr>
        <w:ind w:right="0"/>
        <w:rPr>
          <w:rFonts w:ascii="Simplified Arabic" w:hAnsi="Simplified Arabic"/>
          <w:sz w:val="32"/>
        </w:rPr>
      </w:pPr>
      <w:r w:rsidRPr="00601E88">
        <w:rPr>
          <w:rFonts w:ascii="Simplified Arabic" w:hAnsi="Simplified Arabic"/>
          <w:sz w:val="32"/>
          <w:rtl/>
        </w:rPr>
        <w:t>عندما تتم إعادة تصور عمل ما فإنه ينبغي البحث عن موضعه في دائرة أكبر منه وهي دائرة الجنس الذي ينتمي إليه والعصر والأمة وكل مؤلف يعكس أمته.</w:t>
      </w:r>
    </w:p>
    <w:p w:rsidR="006F3CB2" w:rsidRPr="00601E88" w:rsidRDefault="006F3CB2" w:rsidP="006F3CB2">
      <w:pPr>
        <w:numPr>
          <w:ilvl w:val="0"/>
          <w:numId w:val="1"/>
        </w:numPr>
        <w:ind w:right="0"/>
        <w:rPr>
          <w:rFonts w:ascii="Simplified Arabic" w:hAnsi="Simplified Arabic"/>
          <w:sz w:val="32"/>
        </w:rPr>
      </w:pPr>
      <w:r w:rsidRPr="00601E88">
        <w:rPr>
          <w:rFonts w:ascii="Simplified Arabic" w:hAnsi="Simplified Arabic"/>
          <w:sz w:val="32"/>
          <w:rtl/>
        </w:rPr>
        <w:t>الدراسة الأسلوبية ينبغي أن تكون نقطة البدء فيها لغوية.</w:t>
      </w:r>
    </w:p>
    <w:p w:rsidR="006F3CB2" w:rsidRPr="00601E88" w:rsidRDefault="006F3CB2" w:rsidP="006F3CB2">
      <w:pPr>
        <w:numPr>
          <w:ilvl w:val="0"/>
          <w:numId w:val="1"/>
        </w:numPr>
        <w:ind w:right="0"/>
        <w:rPr>
          <w:rFonts w:ascii="Simplified Arabic" w:hAnsi="Simplified Arabic"/>
          <w:sz w:val="32"/>
        </w:rPr>
      </w:pPr>
      <w:r w:rsidRPr="00601E88">
        <w:rPr>
          <w:rFonts w:ascii="Simplified Arabic" w:hAnsi="Simplified Arabic"/>
          <w:sz w:val="32"/>
          <w:rtl/>
        </w:rPr>
        <w:lastRenderedPageBreak/>
        <w:t>الملامح الخاصة للعمل الفني هي مجاوزة أسلوبية فردية وهي وسيلة للكلام الخاص وابتعاد عن الكلام العام، وكل انحراف عن المعدل في اللغة يعكس انحرافا في مجالات أخرى.</w:t>
      </w:r>
    </w:p>
    <w:p w:rsidR="006F3CB2" w:rsidRPr="00601E88" w:rsidRDefault="006F3CB2" w:rsidP="006F3CB2">
      <w:pPr>
        <w:numPr>
          <w:ilvl w:val="0"/>
          <w:numId w:val="1"/>
        </w:numPr>
        <w:ind w:right="0"/>
        <w:rPr>
          <w:rFonts w:ascii="Simplified Arabic" w:hAnsi="Simplified Arabic"/>
          <w:sz w:val="32"/>
        </w:rPr>
      </w:pPr>
      <w:r w:rsidRPr="00601E88">
        <w:rPr>
          <w:rFonts w:ascii="Simplified Arabic" w:hAnsi="Simplified Arabic"/>
          <w:sz w:val="32"/>
          <w:rtl/>
        </w:rPr>
        <w:t>النقد الأسلوبي يجب أن يكون نقدا تعاطفيا بالمعنى العام للمصطلح؛لأن العمل كله متكامل، وينبغي التقاطه في كليته وفي جزئياته الداخلية(2).</w:t>
      </w:r>
    </w:p>
    <w:p w:rsidR="006F3CB2" w:rsidRPr="00601E88" w:rsidRDefault="006F3CB2" w:rsidP="006F3CB2">
      <w:pPr>
        <w:rPr>
          <w:rFonts w:ascii="Simplified Arabic" w:hAnsi="Simplified Arabic"/>
          <w:sz w:val="32"/>
          <w:rtl/>
        </w:rPr>
      </w:pPr>
      <w:r w:rsidRPr="00601E88">
        <w:rPr>
          <w:rFonts w:ascii="Simplified Arabic" w:hAnsi="Simplified Arabic"/>
          <w:sz w:val="32"/>
          <w:rtl/>
        </w:rPr>
        <w:t>ومن أهم رواد هذا الاتجاه النفساني هم: (</w:t>
      </w:r>
      <w:r w:rsidRPr="00601E88">
        <w:rPr>
          <w:rFonts w:ascii="Simplified Arabic" w:hAnsi="Simplified Arabic"/>
          <w:b/>
          <w:bCs/>
          <w:sz w:val="32"/>
          <w:rtl/>
        </w:rPr>
        <w:t>داماسو ألونسو، وازهاتزفيلد</w:t>
      </w:r>
      <w:r w:rsidRPr="00601E88">
        <w:rPr>
          <w:rFonts w:ascii="Simplified Arabic" w:hAnsi="Simplified Arabic"/>
          <w:sz w:val="32"/>
          <w:rtl/>
        </w:rPr>
        <w:t>).</w:t>
      </w: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65E" w:rsidRDefault="0019665E" w:rsidP="006F3CB2">
      <w:r>
        <w:separator/>
      </w:r>
    </w:p>
  </w:endnote>
  <w:endnote w:type="continuationSeparator" w:id="1">
    <w:p w:rsidR="0019665E" w:rsidRDefault="0019665E" w:rsidP="006F3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65E" w:rsidRDefault="0019665E" w:rsidP="006F3CB2">
      <w:r>
        <w:separator/>
      </w:r>
    </w:p>
  </w:footnote>
  <w:footnote w:type="continuationSeparator" w:id="1">
    <w:p w:rsidR="0019665E" w:rsidRDefault="0019665E" w:rsidP="006F3CB2">
      <w:r>
        <w:continuationSeparator/>
      </w:r>
    </w:p>
  </w:footnote>
  <w:footnote w:id="2">
    <w:p w:rsidR="006F3CB2" w:rsidRPr="00564C50" w:rsidRDefault="006F3CB2" w:rsidP="006F3CB2">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السد نور الدين: الأسلوبيات وتحليل الخطاب ، ص67.</w:t>
      </w:r>
    </w:p>
    <w:p w:rsidR="006F3CB2" w:rsidRPr="001E21E0" w:rsidRDefault="006F3CB2" w:rsidP="006F3CB2">
      <w:pPr>
        <w:numPr>
          <w:ilvl w:val="0"/>
          <w:numId w:val="2"/>
        </w:numPr>
        <w:ind w:left="360"/>
        <w:rPr>
          <w:rFonts w:ascii="Simplified Arabic" w:hAnsi="Simplified Arabic"/>
          <w:sz w:val="24"/>
          <w:szCs w:val="24"/>
          <w:rtl/>
        </w:rPr>
      </w:pPr>
      <w:r w:rsidRPr="001E21E0">
        <w:rPr>
          <w:rFonts w:ascii="Simplified Arabic" w:hAnsi="Simplified Arabic"/>
          <w:sz w:val="24"/>
          <w:szCs w:val="24"/>
          <w:rtl/>
          <w:lang w:val="fr-FR"/>
        </w:rPr>
        <w:t>أوكان عمر: اللغة والخطاب، دار أفريقيا الشرق، الدار البيضاء المغرب، دط ، 2001م ، ص171.</w:t>
      </w:r>
    </w:p>
  </w:footnote>
  <w:footnote w:id="3">
    <w:p w:rsidR="006F3CB2" w:rsidRPr="00564C50" w:rsidRDefault="006F3CB2" w:rsidP="006F3CB2">
      <w:pPr>
        <w:pStyle w:val="a3"/>
        <w:rPr>
          <w:rFonts w:ascii="Simplified Arabic" w:hAnsi="Simplified Arabic" w:cs="Simplified Arabic"/>
          <w:sz w:val="24"/>
          <w:szCs w:val="24"/>
          <w:rtl/>
        </w:rPr>
      </w:pPr>
    </w:p>
  </w:footnote>
  <w:footnote w:id="4">
    <w:p w:rsidR="006F3CB2" w:rsidRPr="00564C50" w:rsidRDefault="006F3CB2" w:rsidP="006F3CB2">
      <w:pPr>
        <w:pStyle w:val="a3"/>
        <w:numPr>
          <w:ilvl w:val="0"/>
          <w:numId w:val="3"/>
        </w:numPr>
        <w:jc w:val="left"/>
        <w:rPr>
          <w:rFonts w:ascii="Simplified Arabic" w:hAnsi="Simplified Arabic" w:cs="Simplified Arabic"/>
          <w:sz w:val="24"/>
          <w:szCs w:val="24"/>
        </w:rPr>
      </w:pPr>
      <w:r w:rsidRPr="00564C50">
        <w:rPr>
          <w:rFonts w:ascii="Simplified Arabic" w:hAnsi="Simplified Arabic" w:cs="Simplified Arabic"/>
          <w:sz w:val="24"/>
          <w:szCs w:val="24"/>
          <w:rtl/>
          <w:lang w:val="fr-FR"/>
        </w:rPr>
        <w:t>درويش أحمد: دراسة الأسلوب بين المعاصرة والتراث، دار غريب القاهرة ، مصر، 1998، ص37.</w:t>
      </w:r>
    </w:p>
    <w:p w:rsidR="006F3CB2" w:rsidRPr="00564C50" w:rsidRDefault="006F3CB2" w:rsidP="006F3CB2">
      <w:pPr>
        <w:pStyle w:val="a3"/>
        <w:numPr>
          <w:ilvl w:val="0"/>
          <w:numId w:val="3"/>
        </w:numPr>
        <w:jc w:val="left"/>
        <w:rPr>
          <w:rFonts w:ascii="Simplified Arabic" w:hAnsi="Simplified Arabic" w:cs="Simplified Arabic"/>
          <w:sz w:val="24"/>
          <w:szCs w:val="24"/>
        </w:rPr>
      </w:pPr>
      <w:r w:rsidRPr="00564C50">
        <w:rPr>
          <w:rFonts w:ascii="Simplified Arabic" w:hAnsi="Simplified Arabic" w:cs="Simplified Arabic"/>
          <w:sz w:val="24"/>
          <w:szCs w:val="24"/>
          <w:rtl/>
        </w:rPr>
        <w:t>نفس المرجع: ص38.</w:t>
      </w:r>
    </w:p>
    <w:p w:rsidR="006F3CB2" w:rsidRPr="001E21E0" w:rsidRDefault="006F3CB2" w:rsidP="006F3CB2">
      <w:pPr>
        <w:pStyle w:val="a3"/>
        <w:numPr>
          <w:ilvl w:val="0"/>
          <w:numId w:val="3"/>
        </w:numPr>
        <w:ind w:left="360"/>
        <w:jc w:val="left"/>
        <w:rPr>
          <w:rFonts w:ascii="Simplified Arabic" w:hAnsi="Simplified Arabic" w:cs="Simplified Arabic"/>
          <w:sz w:val="24"/>
          <w:szCs w:val="24"/>
          <w:rtl/>
        </w:rPr>
      </w:pPr>
      <w:r w:rsidRPr="001E21E0">
        <w:rPr>
          <w:rFonts w:ascii="Simplified Arabic" w:hAnsi="Simplified Arabic" w:cs="Simplified Arabic"/>
          <w:sz w:val="24"/>
          <w:szCs w:val="24"/>
          <w:rtl/>
        </w:rPr>
        <w:t>السد نور الدين: الأسلوبيات وتحليل الخطاب ،ص82.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311E"/>
    <w:multiLevelType w:val="hybridMultilevel"/>
    <w:tmpl w:val="E5523D04"/>
    <w:lvl w:ilvl="0" w:tplc="2B302E98">
      <w:start w:val="1"/>
      <w:numFmt w:val="decimal"/>
      <w:lvlText w:val="(%1)"/>
      <w:lvlJc w:val="left"/>
      <w:pPr>
        <w:ind w:left="720" w:hanging="360"/>
      </w:pPr>
      <w:rPr>
        <w:rFonts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AD4A0D"/>
    <w:multiLevelType w:val="hybridMultilevel"/>
    <w:tmpl w:val="140201D4"/>
    <w:lvl w:ilvl="0" w:tplc="3FFC23AA">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6E394748"/>
    <w:multiLevelType w:val="hybridMultilevel"/>
    <w:tmpl w:val="645487B8"/>
    <w:lvl w:ilvl="0" w:tplc="6EC05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F3CB2"/>
    <w:rsid w:val="0019665E"/>
    <w:rsid w:val="006F3CB2"/>
    <w:rsid w:val="009C62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CB2"/>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F3CB2"/>
    <w:rPr>
      <w:rFonts w:eastAsia="Times New Roman" w:cs="Times New Roman"/>
      <w:sz w:val="20"/>
      <w:szCs w:val="20"/>
    </w:rPr>
  </w:style>
  <w:style w:type="character" w:customStyle="1" w:styleId="Char">
    <w:name w:val="نص حاشية سفلية Char"/>
    <w:basedOn w:val="a0"/>
    <w:link w:val="a3"/>
    <w:uiPriority w:val="99"/>
    <w:rsid w:val="006F3CB2"/>
    <w:rPr>
      <w:rFonts w:ascii="Times New Roman" w:eastAsia="Times New Roman" w:hAnsi="Times New Roman" w:cs="Times New Roman"/>
      <w:sz w:val="20"/>
      <w:szCs w:val="20"/>
      <w:lang w:val="en-US"/>
    </w:rPr>
  </w:style>
  <w:style w:type="character" w:styleId="a4">
    <w:name w:val="footnote reference"/>
    <w:uiPriority w:val="99"/>
    <w:unhideWhenUsed/>
    <w:rsid w:val="006F3CB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1566</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2021-02-02T06:15:00Z</dcterms:created>
  <dcterms:modified xsi:type="dcterms:W3CDTF">2021-02-02T06:15:00Z</dcterms:modified>
</cp:coreProperties>
</file>