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2E" w:rsidRDefault="00365C2E" w:rsidP="00365C2E">
      <w:pPr>
        <w:spacing w:line="276" w:lineRule="auto"/>
        <w:jc w:val="center"/>
        <w:rPr>
          <w:rFonts w:ascii="Simplified Arabic" w:hAnsi="Simplified Arabic" w:cs="Simplified Arabic"/>
          <w:b/>
          <w:bCs/>
          <w:shadow/>
          <w:sz w:val="40"/>
          <w:szCs w:val="40"/>
          <w:rtl/>
          <w:lang w:bidi="ar-DZ"/>
        </w:rPr>
      </w:pPr>
      <w:r>
        <w:rPr>
          <w:rFonts w:ascii="Simplified Arabic" w:hAnsi="Simplified Arabic" w:cs="Simplified Arabic" w:hint="cs"/>
          <w:b/>
          <w:bCs/>
          <w:shadow/>
          <w:sz w:val="40"/>
          <w:szCs w:val="40"/>
          <w:rtl/>
          <w:lang w:bidi="ar-DZ"/>
        </w:rPr>
        <w:t xml:space="preserve">المحاضرة الخامسة: </w:t>
      </w:r>
    </w:p>
    <w:p w:rsidR="00365C2E" w:rsidRDefault="00365C2E" w:rsidP="00365C2E">
      <w:pPr>
        <w:spacing w:line="276" w:lineRule="auto"/>
        <w:jc w:val="center"/>
        <w:rPr>
          <w:rFonts w:ascii="Simplified Arabic" w:hAnsi="Simplified Arabic" w:cs="Simplified Arabic"/>
          <w:b/>
          <w:bCs/>
          <w:shadow/>
          <w:sz w:val="40"/>
          <w:szCs w:val="40"/>
          <w:rtl/>
          <w:lang w:bidi="ar-DZ"/>
        </w:rPr>
      </w:pPr>
      <w:r w:rsidRPr="00332199">
        <w:rPr>
          <w:rFonts w:ascii="Simplified Arabic" w:hAnsi="Simplified Arabic" w:cs="Simplified Arabic"/>
          <w:b/>
          <w:bCs/>
          <w:shadow/>
          <w:sz w:val="40"/>
          <w:szCs w:val="40"/>
          <w:rtl/>
          <w:lang w:bidi="ar-DZ"/>
        </w:rPr>
        <w:t>الإحياء الشعري في المشرق</w:t>
      </w:r>
      <w:r>
        <w:rPr>
          <w:rFonts w:ascii="Simplified Arabic" w:hAnsi="Simplified Arabic" w:cs="Simplified Arabic" w:hint="cs"/>
          <w:b/>
          <w:bCs/>
          <w:shadow/>
          <w:sz w:val="40"/>
          <w:szCs w:val="40"/>
          <w:rtl/>
          <w:lang w:bidi="ar-DZ"/>
        </w:rPr>
        <w:t xml:space="preserve"> (قراءة في ضوء آليات تلقى النص الشعري الحديث)</w:t>
      </w:r>
    </w:p>
    <w:p w:rsidR="00365C2E" w:rsidRPr="00B20A4B" w:rsidRDefault="00365C2E" w:rsidP="00365C2E">
      <w:pPr>
        <w:spacing w:line="276" w:lineRule="auto"/>
        <w:jc w:val="both"/>
        <w:rPr>
          <w:rFonts w:ascii="Simplified Arabic" w:hAnsi="Simplified Arabic" w:cs="Simplified Arabic"/>
          <w:b/>
          <w:bCs/>
          <w:sz w:val="32"/>
          <w:szCs w:val="32"/>
          <w:rtl/>
          <w:lang w:bidi="ar-DZ"/>
        </w:rPr>
      </w:pPr>
      <w:r w:rsidRPr="00B20A4B">
        <w:rPr>
          <w:rFonts w:ascii="Simplified Arabic" w:hAnsi="Simplified Arabic" w:cs="Simplified Arabic" w:hint="cs"/>
          <w:b/>
          <w:bCs/>
          <w:sz w:val="32"/>
          <w:szCs w:val="32"/>
          <w:rtl/>
          <w:lang w:bidi="ar-DZ"/>
        </w:rPr>
        <w:t>توطئة:</w:t>
      </w:r>
    </w:p>
    <w:p w:rsidR="00365C2E" w:rsidRPr="00823B73"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من الشروط الواجب توفرها في منشئ الخطاب </w:t>
      </w:r>
      <w:r>
        <w:rPr>
          <w:rFonts w:ascii="Simplified Arabic" w:hAnsi="Simplified Arabic" w:cs="Simplified Arabic" w:hint="cs"/>
          <w:sz w:val="32"/>
          <w:szCs w:val="32"/>
          <w:rtl/>
          <w:lang w:bidi="ar-DZ"/>
        </w:rPr>
        <w:t>الشعري</w:t>
      </w:r>
      <w:r w:rsidRPr="00823B73">
        <w:rPr>
          <w:rFonts w:ascii="Simplified Arabic" w:hAnsi="Simplified Arabic" w:cs="Simplified Arabic" w:hint="cs"/>
          <w:sz w:val="32"/>
          <w:szCs w:val="32"/>
          <w:rtl/>
          <w:lang w:bidi="ar-DZ"/>
        </w:rPr>
        <w:t xml:space="preserve"> بعامة وقارئه بخاصة مدى قدرتهما على السمو بالنص إلى مستوى يضمن له الاستمرارية؛ التي تأبى أن تقف به عند حدوده الظرفية، فتمّحي حينئذ معالمه بمجرد وضع أولى خطواته في سوق الرواج وحقل القراءات؛ لذا وإثباتا لفرضيات البحث فإن وجود النص السير ذاتي يستمد هويته انطلاقا من كونه منجز لغوي بدوال رمزية يثري متلقيه مضامينه قراءة وتأويلا وهو ما يجعله بمنأى عن السلبية والقصور، هذا المتلقي يفترض أن "يمتلك أدوات القراءة ويتفاعل مع النص من منطلق معرفته باللغة التي تشكل بها هذا النص</w:t>
      </w:r>
      <w:r w:rsidRPr="00B20A4B">
        <w:rPr>
          <w:rFonts w:ascii="Simplified Arabic" w:hAnsi="Simplified Arabic" w:cs="Simplified Arabic" w:hint="cs"/>
          <w:sz w:val="32"/>
          <w:szCs w:val="32"/>
          <w:vertAlign w:val="superscript"/>
          <w:rtl/>
          <w:lang w:bidi="ar-DZ"/>
        </w:rPr>
        <w:t>"</w:t>
      </w:r>
      <w:r w:rsidRPr="00B20A4B">
        <w:rPr>
          <w:rFonts w:ascii="Simplified Arabic" w:hAnsi="Simplified Arabic" w:cs="Simplified Arabic"/>
          <w:sz w:val="32"/>
          <w:szCs w:val="32"/>
          <w:vertAlign w:val="superscript"/>
          <w:rtl/>
        </w:rPr>
        <w:footnoteReference w:customMarkFollows="1" w:id="2"/>
        <w:t>(1)</w:t>
      </w:r>
      <w:r w:rsidRPr="00823B73">
        <w:rPr>
          <w:rFonts w:ascii="Simplified Arabic" w:hAnsi="Simplified Arabic" w:cs="Simplified Arabic" w:hint="cs"/>
          <w:sz w:val="32"/>
          <w:szCs w:val="32"/>
          <w:rtl/>
          <w:lang w:bidi="ar-DZ"/>
        </w:rPr>
        <w:t xml:space="preserve">. </w:t>
      </w:r>
    </w:p>
    <w:p w:rsidR="00365C2E" w:rsidRPr="00823B73"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فالأمر يتجاوز حدود تصوير الشاعر لذاته، إلى إمكانية التأثير في القارئ وإشراكه في عملية بناء الأحداث ضمن نسق فني خاص، حتى يكون طرفا في إعادة تشكيل</w:t>
      </w:r>
    </w:p>
    <w:p w:rsidR="00365C2E" w:rsidRPr="00823B73" w:rsidRDefault="00365C2E" w:rsidP="00365C2E">
      <w:pPr>
        <w:spacing w:line="276" w:lineRule="auto"/>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الصورة الواقعية الغائبة؛ تلك الصورة التي كانت مناط هاجس أرق المضاجع فاستحال عنوانا لاعترافات كاتب يتصور، حين ينتج نصه، "قارئا معينا وفي خلفيته نصوص عديدة، يحولها ويبنيها في إنتاجيته الخاصة، من خلال التفاعل البنائي على مستوييه الداخلي (الكتابة) والخارجي(القراءة)"</w:t>
      </w:r>
      <w:r w:rsidRPr="00B20A4B">
        <w:rPr>
          <w:rFonts w:ascii="Simplified Arabic" w:hAnsi="Simplified Arabic" w:cs="Simplified Arabic"/>
          <w:sz w:val="32"/>
          <w:szCs w:val="32"/>
          <w:vertAlign w:val="superscript"/>
          <w:rtl/>
        </w:rPr>
        <w:footnoteReference w:customMarkFollows="1" w:id="3"/>
        <w:t>(2)</w:t>
      </w:r>
    </w:p>
    <w:p w:rsidR="00365C2E" w:rsidRPr="00823B73"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لذا، أضحى للقارئ دور يضطلع به، وحالات تلقٍ للنص الأدبي يصنفها عبد الله الغذامي إلى ثلاث: أولاها؛ حالة الإقناع ذي التوصيل العقلي، وكينونة النص فيها منطقية حيث يرتكز في علاقاته الداخلية وفي تواصله مع القارئ على تحديد المعنى الذي يسخـر </w:t>
      </w:r>
      <w:r w:rsidRPr="00823B73">
        <w:rPr>
          <w:rFonts w:ascii="Simplified Arabic" w:hAnsi="Simplified Arabic" w:cs="Simplified Arabic" w:hint="cs"/>
          <w:sz w:val="32"/>
          <w:szCs w:val="32"/>
          <w:rtl/>
          <w:lang w:bidi="ar-DZ"/>
        </w:rPr>
        <w:lastRenderedPageBreak/>
        <w:t>النص لإيصاله وتحقيقه، بعبارة أخرى هو رسالة ذهنية غايتها الإقناع كالخطابة مثلا وثانيها؛ حالة الانفعال التلقائي المعتمدة على التعبير الوجداني، ويكون مرتكز النص صناعة اللغة فيه، ومثال ذلك الشعر الغنائي، وقد يتمازج بحالة الإقناع وذلك في شعر الحكمة والشعر التعليمي، وثالثها حالة الانفعال العقلي التي تضمن للنص شرط وجوده الجمالي، في سياق نصي إشاري حرّ الدلالة، أبعد ما يكون عن الإنشائية التلقائية النابعة من الوجدان الفطري للمبدع</w:t>
      </w:r>
      <w:r w:rsidRPr="00B20A4B">
        <w:rPr>
          <w:rFonts w:ascii="Simplified Arabic" w:hAnsi="Simplified Arabic" w:cs="Simplified Arabic"/>
          <w:sz w:val="32"/>
          <w:szCs w:val="32"/>
          <w:vertAlign w:val="superscript"/>
          <w:rtl/>
        </w:rPr>
        <w:footnoteReference w:customMarkFollows="1" w:id="4"/>
        <w:t>(1)</w:t>
      </w:r>
      <w:r w:rsidRPr="00823B73">
        <w:rPr>
          <w:rFonts w:ascii="Simplified Arabic" w:hAnsi="Simplified Arabic" w:cs="Simplified Arabic" w:hint="cs"/>
          <w:sz w:val="32"/>
          <w:szCs w:val="32"/>
          <w:rtl/>
          <w:lang w:bidi="ar-DZ"/>
        </w:rPr>
        <w:t xml:space="preserve">. </w:t>
      </w:r>
    </w:p>
    <w:p w:rsidR="00365C2E"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هكذا، وانطلاقا من هذا التصنيف، تكون عملية القراءة </w:t>
      </w:r>
      <w:r>
        <w:rPr>
          <w:rFonts w:ascii="Simplified Arabic" w:hAnsi="Simplified Arabic" w:cs="Simplified Arabic" w:hint="cs"/>
          <w:sz w:val="32"/>
          <w:szCs w:val="32"/>
          <w:rtl/>
          <w:lang w:bidi="ar-DZ"/>
        </w:rPr>
        <w:t xml:space="preserve">للشعر العربي الحديث </w:t>
      </w:r>
      <w:r w:rsidRPr="00823B73">
        <w:rPr>
          <w:rFonts w:ascii="Simplified Arabic" w:hAnsi="Simplified Arabic" w:cs="Simplified Arabic" w:hint="cs"/>
          <w:sz w:val="32"/>
          <w:szCs w:val="32"/>
          <w:rtl/>
          <w:lang w:bidi="ar-DZ"/>
        </w:rPr>
        <w:t xml:space="preserve">بداية تحقق نوعٍ من التلقي </w:t>
      </w:r>
      <w:r>
        <w:rPr>
          <w:rFonts w:ascii="Simplified Arabic" w:hAnsi="Simplified Arabic" w:cs="Simplified Arabic" w:hint="cs"/>
          <w:sz w:val="32"/>
          <w:szCs w:val="32"/>
          <w:rtl/>
          <w:lang w:bidi="ar-DZ"/>
        </w:rPr>
        <w:t>لخصائصه الفارقة من حيث شكله ومضمونه</w:t>
      </w:r>
      <w:r w:rsidRPr="00823B73">
        <w:rPr>
          <w:rFonts w:ascii="Simplified Arabic" w:hAnsi="Simplified Arabic" w:cs="Simplified Arabic" w:hint="cs"/>
          <w:sz w:val="32"/>
          <w:szCs w:val="32"/>
          <w:rtl/>
          <w:lang w:bidi="ar-DZ"/>
        </w:rPr>
        <w:t>، والاستجابات المتنوعة بتنوع أجناس النصوص وانتماءاتها، والباحث إذ يتحرى الكاتب والمتلقي فإنه يعتقد، ولو اجتهادا منه، أن ذلك يمت بصلة إلى ترسبات ثقافية وأخرى حضارية، فرضت نمطا من التفاعلات في تركيبة الفعل الإبداعي ونوعا من القراءة الواعية والمركبة بمستوياتها المتعددة، منها ما هو حسي يعتمد على الحواس ويطلق عليه مستوى الإدراك، ومنها ما هو ذهني يهدف إلى التعرف على الطبيعة السيميوطيقية للأشياء المدركة بوصفها علامة تنتمي إلى نظام سيميوطيقي وصولا إلى محاولة فك شفرة الشيء نفسه وتفسيره</w:t>
      </w:r>
      <w:r w:rsidRPr="00B20A4B">
        <w:rPr>
          <w:rFonts w:ascii="Simplified Arabic" w:hAnsi="Simplified Arabic" w:cs="Simplified Arabic"/>
          <w:sz w:val="32"/>
          <w:szCs w:val="32"/>
          <w:vertAlign w:val="superscript"/>
          <w:rtl/>
        </w:rPr>
        <w:footnoteReference w:customMarkFollows="1" w:id="5"/>
        <w:t>(2)</w:t>
      </w:r>
      <w:r w:rsidRPr="00823B73">
        <w:rPr>
          <w:rFonts w:ascii="Simplified Arabic" w:hAnsi="Simplified Arabic" w:cs="Simplified Arabic" w:hint="cs"/>
          <w:sz w:val="32"/>
          <w:szCs w:val="32"/>
          <w:rtl/>
          <w:lang w:bidi="ar-DZ"/>
        </w:rPr>
        <w:t>.</w:t>
      </w:r>
    </w:p>
    <w:p w:rsidR="00365C2E" w:rsidRPr="00823B73"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 إنّ </w:t>
      </w:r>
      <w:r>
        <w:rPr>
          <w:rFonts w:ascii="Simplified Arabic" w:hAnsi="Simplified Arabic" w:cs="Simplified Arabic" w:hint="cs"/>
          <w:sz w:val="32"/>
          <w:szCs w:val="32"/>
          <w:rtl/>
          <w:lang w:bidi="ar-DZ"/>
        </w:rPr>
        <w:t>النص الشعري يروم العبور، بما له من خصائص، إلى ما يحقق جمالياته وشروطه</w:t>
      </w:r>
      <w:r w:rsidRPr="00823B73">
        <w:rPr>
          <w:rFonts w:ascii="Simplified Arabic" w:hAnsi="Simplified Arabic" w:cs="Simplified Arabic" w:hint="cs"/>
          <w:sz w:val="32"/>
          <w:szCs w:val="32"/>
          <w:rtl/>
          <w:lang w:bidi="ar-DZ"/>
        </w:rPr>
        <w:t xml:space="preserve"> الميثاقية والغائية في علاقتها بالقارئ؛ إذ إنها تتأسس فنيا على تجسيد (الحياتي) وما يحفل به من أحداث وشخصيات، بالدخول في تفاعل خاص مع تجارب هذا القارئ الذي يمكن أن يرى فيها أنموذجا للاقتداء أو الاستمتاع.</w:t>
      </w:r>
    </w:p>
    <w:p w:rsidR="00365C2E" w:rsidRDefault="00365C2E" w:rsidP="00365C2E">
      <w:pPr>
        <w:spacing w:line="276" w:lineRule="auto"/>
        <w:ind w:left="105" w:firstLine="615"/>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تغدو القصيدة </w:t>
      </w:r>
      <w:r>
        <w:rPr>
          <w:rFonts w:ascii="Simplified Arabic" w:hAnsi="Simplified Arabic" w:cs="Simplified Arabic" w:hint="cs"/>
          <w:sz w:val="32"/>
          <w:szCs w:val="32"/>
          <w:rtl/>
          <w:lang w:bidi="ar-DZ"/>
        </w:rPr>
        <w:t>الحديثة</w:t>
      </w:r>
      <w:r w:rsidRPr="00823B73">
        <w:rPr>
          <w:rFonts w:ascii="Simplified Arabic" w:hAnsi="Simplified Arabic" w:cs="Simplified Arabic" w:hint="cs"/>
          <w:sz w:val="32"/>
          <w:szCs w:val="32"/>
          <w:rtl/>
          <w:lang w:bidi="ar-DZ"/>
        </w:rPr>
        <w:t xml:space="preserve"> إذًن "تجربة جمالية</w:t>
      </w:r>
      <w:r w:rsidRPr="00823B73">
        <w:rPr>
          <w:rFonts w:ascii="Simplified Arabic" w:hAnsi="Simplified Arabic" w:cs="Simplified Arabic"/>
          <w:sz w:val="32"/>
          <w:szCs w:val="32"/>
          <w:lang w:bidi="ar-DZ"/>
        </w:rPr>
        <w:t xml:space="preserve"> (Experience ésthetique)</w:t>
      </w:r>
      <w:r w:rsidRPr="00823B73">
        <w:rPr>
          <w:rFonts w:ascii="Simplified Arabic" w:hAnsi="Simplified Arabic" w:cs="Simplified Arabic" w:hint="cs"/>
          <w:sz w:val="32"/>
          <w:szCs w:val="32"/>
          <w:rtl/>
          <w:lang w:bidi="ar-DZ"/>
        </w:rPr>
        <w:t xml:space="preserve">تتشكل في الأثر الفني؛ بما هو العالم الذي يلقي بنوره على الذات، فترى الأشياء وقد حاصرها هذا الضوء مختلفة كأنها ولدت لتوِّها، ليغدو الفن معرفة وجودية، تكتشف فيها الذات </w:t>
      </w:r>
      <w:r w:rsidRPr="00823B73">
        <w:rPr>
          <w:rFonts w:ascii="Simplified Arabic" w:hAnsi="Simplified Arabic" w:cs="Simplified Arabic" w:hint="cs"/>
          <w:sz w:val="32"/>
          <w:szCs w:val="32"/>
          <w:rtl/>
          <w:lang w:bidi="ar-DZ"/>
        </w:rPr>
        <w:lastRenderedPageBreak/>
        <w:t>موضوعها"</w:t>
      </w:r>
      <w:r w:rsidRPr="00B20A4B">
        <w:rPr>
          <w:rFonts w:ascii="Simplified Arabic" w:hAnsi="Simplified Arabic" w:cs="Simplified Arabic"/>
          <w:sz w:val="32"/>
          <w:szCs w:val="32"/>
          <w:vertAlign w:val="superscript"/>
          <w:rtl/>
          <w:lang w:bidi="ar-DZ"/>
        </w:rPr>
        <w:footnoteReference w:customMarkFollows="1" w:id="6"/>
        <w:t>(</w:t>
      </w:r>
      <w:r w:rsidRPr="00B20A4B">
        <w:rPr>
          <w:rFonts w:ascii="Simplified Arabic" w:hAnsi="Simplified Arabic" w:cs="Simplified Arabic" w:hint="cs"/>
          <w:sz w:val="32"/>
          <w:szCs w:val="32"/>
          <w:vertAlign w:val="superscript"/>
          <w:rtl/>
          <w:lang w:bidi="ar-DZ"/>
        </w:rPr>
        <w:t>3</w:t>
      </w:r>
      <w:r w:rsidRPr="00B20A4B">
        <w:rPr>
          <w:rFonts w:ascii="Simplified Arabic" w:hAnsi="Simplified Arabic" w:cs="Simplified Arabic"/>
          <w:sz w:val="32"/>
          <w:szCs w:val="32"/>
          <w:vertAlign w:val="superscript"/>
          <w:rtl/>
          <w:lang w:bidi="ar-DZ"/>
        </w:rPr>
        <w:t>)</w:t>
      </w:r>
      <w:r w:rsidRPr="00823B73">
        <w:rPr>
          <w:rFonts w:ascii="Simplified Arabic" w:hAnsi="Simplified Arabic" w:cs="Simplified Arabic" w:hint="cs"/>
          <w:sz w:val="32"/>
          <w:szCs w:val="32"/>
          <w:rtl/>
          <w:lang w:bidi="ar-DZ"/>
        </w:rPr>
        <w:t xml:space="preserve"> فالجمالية تتخذ من ملفوظات النص اللسانية سبيلا لولوج عوالمه ومحاورته، بالبحث عمّا تمتلكه الذات المتلقية للنص من قدرة على إعادة إنتاج المعنى مستعينة بالفهم والإدراك، كأن القارئ يرى نفسه في كتابات غيره مثلما فعل إدوارد سعيد حين رأى في تفصيل مجريات حياته وسيلة "أفسر بها لنفسي وللقارئ مدى ارتباط زمن هذا الكتاب بزمن مرضي، بحقباته وطلعاته وزلاته وتقلباته كافة، فمع تزايد ضعفي وتكاثر الالتهابات وطفرات الآثار الجانبية للمرض، ازداد اتكالي على هذا الكتاب وسيلة أبتني بها لنفسي شيئا ما بواسطة النثر"</w:t>
      </w:r>
      <w:r w:rsidRPr="00B20A4B">
        <w:rPr>
          <w:rFonts w:ascii="Simplified Arabic" w:hAnsi="Simplified Arabic" w:cs="Simplified Arabic"/>
          <w:sz w:val="32"/>
          <w:szCs w:val="32"/>
          <w:vertAlign w:val="superscript"/>
          <w:rtl/>
        </w:rPr>
        <w:footnoteReference w:customMarkFollows="1" w:id="7"/>
        <w:t>(</w:t>
      </w:r>
      <w:r w:rsidRPr="00B20A4B">
        <w:rPr>
          <w:rFonts w:ascii="Simplified Arabic" w:hAnsi="Simplified Arabic" w:cs="Simplified Arabic" w:hint="cs"/>
          <w:sz w:val="32"/>
          <w:szCs w:val="32"/>
          <w:vertAlign w:val="superscript"/>
          <w:rtl/>
        </w:rPr>
        <w:t>1</w:t>
      </w:r>
      <w:r w:rsidRPr="00B20A4B">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w:t>
      </w:r>
    </w:p>
    <w:p w:rsidR="00365C2E" w:rsidRPr="00823B73" w:rsidRDefault="00365C2E" w:rsidP="00365C2E">
      <w:pPr>
        <w:spacing w:line="276" w:lineRule="auto"/>
        <w:ind w:left="105" w:firstLine="615"/>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فالنص الشعري، بإشراكه القارئَ، نص حواري قائم على تعدد في المعنى وليس ممارسة لسلطة قهرية على فكر القارئ وحريته، بل هو قائم على محاولة إحداث الأثر في نفسية المتلقي، وما له من خبرة جمالية هي، في الأصل، "خبرة ذوات محايدة لأنها خبرة محكومة ببنية الموضوع الجمالي؛ الذي ينبثق من العمل نفسه، ويكون نتاجا لقصد فنان تلتقي معه هذه الذوات"</w:t>
      </w:r>
      <w:r w:rsidRPr="00B20A4B">
        <w:rPr>
          <w:rFonts w:ascii="Simplified Arabic" w:hAnsi="Simplified Arabic" w:cs="Simplified Arabic"/>
          <w:sz w:val="32"/>
          <w:szCs w:val="32"/>
          <w:vertAlign w:val="superscript"/>
          <w:rtl/>
        </w:rPr>
        <w:footnoteReference w:customMarkFollows="1" w:id="8"/>
        <w:t>(</w:t>
      </w:r>
      <w:r w:rsidRPr="00B20A4B">
        <w:rPr>
          <w:rFonts w:ascii="Simplified Arabic" w:hAnsi="Simplified Arabic" w:cs="Simplified Arabic" w:hint="cs"/>
          <w:sz w:val="32"/>
          <w:szCs w:val="32"/>
          <w:vertAlign w:val="superscript"/>
          <w:rtl/>
        </w:rPr>
        <w:t>2</w:t>
      </w:r>
      <w:r w:rsidRPr="00B20A4B">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في انتمائها الأسري والاجتماعي، لتظل مرافقة له في مشوار حياته وحياته الفنية. </w:t>
      </w:r>
    </w:p>
    <w:p w:rsidR="00365C2E"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هكذا، يؤسس النص الشعري نمطًا خاصا من أنماط التذوق الفني، يكون فيها القارئ مشبعا بملكة فطرية وأخرى مكتسبة، تساعدانه على إنتاج دلالة النصوص التي لا تتجه شكلا ومضمونا إلى الخواء، كما أنها لم تأت من فراغ، والقراءة الأدبية لم تعد فعالية سلبية لا تتجاوز التلقي الآلي من القارئ، وكأنما هو وعاء معدني لا دور له سوى استيعاب ما يصب فيه، ولذلك، يضيف عبد الله الغذامي، فإنه ليس مجرد متلق فحسب، "ولكنه يمثل </w:t>
      </w:r>
      <w:r w:rsidRPr="00823B73">
        <w:rPr>
          <w:rFonts w:ascii="Simplified Arabic" w:hAnsi="Simplified Arabic" w:cs="Simplified Arabic" w:hint="cs"/>
          <w:sz w:val="32"/>
          <w:szCs w:val="32"/>
          <w:rtl/>
          <w:lang w:bidi="ar-DZ"/>
        </w:rPr>
        <w:lastRenderedPageBreak/>
        <w:t>حصيلة ثقافية واجتماعية ونفسية تتلاقى مع كاتب هو مثلها في مزاج تكوينه الحضاري الشمولي والنص هو المتلقي لهاتين الثقافتين"</w:t>
      </w:r>
      <w:r w:rsidRPr="00B20A4B">
        <w:rPr>
          <w:rFonts w:ascii="Simplified Arabic" w:hAnsi="Simplified Arabic" w:cs="Simplified Arabic"/>
          <w:sz w:val="32"/>
          <w:szCs w:val="32"/>
          <w:vertAlign w:val="superscript"/>
          <w:rtl/>
        </w:rPr>
        <w:footnoteReference w:customMarkFollows="1" w:id="9"/>
        <w:t>(</w:t>
      </w:r>
      <w:r w:rsidRPr="00B20A4B">
        <w:rPr>
          <w:rFonts w:ascii="Simplified Arabic" w:hAnsi="Simplified Arabic" w:cs="Simplified Arabic" w:hint="cs"/>
          <w:sz w:val="32"/>
          <w:szCs w:val="32"/>
          <w:vertAlign w:val="superscript"/>
          <w:rtl/>
        </w:rPr>
        <w:t>3</w:t>
      </w:r>
      <w:r w:rsidRPr="00B20A4B">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w:t>
      </w:r>
    </w:p>
    <w:p w:rsidR="00365C2E" w:rsidRPr="00823B73" w:rsidRDefault="00365C2E" w:rsidP="00365C2E">
      <w:pPr>
        <w:spacing w:line="276" w:lineRule="auto"/>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ab/>
      </w:r>
      <w:r w:rsidRPr="00823B73">
        <w:rPr>
          <w:rFonts w:ascii="Simplified Arabic" w:hAnsi="Simplified Arabic" w:cs="Simplified Arabic" w:hint="cs"/>
          <w:sz w:val="32"/>
          <w:szCs w:val="32"/>
          <w:rtl/>
          <w:lang w:bidi="ar-DZ"/>
        </w:rPr>
        <w:t>إن القارئ، انطلاقا من هذه المحصلة، أكثر اعتمادا على ترسباته المعرفية في تعامله مع النص ومحاولة فهمه، حيث يصبح هذا الفهم "عملية بناء المعنى وإنتاجه، وليس الكشف عنه أو الانتهاء إليه، وبذلك يعدّ المحمول اللساني مؤثرا واحدا من مؤثرات الفهم، لابد من تغذيته بمرجعيات ذاتية [...] من لدن المتلقي"</w:t>
      </w:r>
      <w:r w:rsidRPr="00B20A4B">
        <w:rPr>
          <w:rFonts w:ascii="Simplified Arabic" w:hAnsi="Simplified Arabic" w:cs="Simplified Arabic"/>
          <w:sz w:val="32"/>
          <w:szCs w:val="32"/>
          <w:vertAlign w:val="superscript"/>
          <w:rtl/>
        </w:rPr>
        <w:footnoteReference w:customMarkFollows="1" w:id="10"/>
        <w:t>(</w:t>
      </w:r>
      <w:r w:rsidRPr="00B20A4B">
        <w:rPr>
          <w:rFonts w:ascii="Simplified Arabic" w:hAnsi="Simplified Arabic" w:cs="Simplified Arabic" w:hint="cs"/>
          <w:sz w:val="32"/>
          <w:szCs w:val="32"/>
          <w:vertAlign w:val="superscript"/>
          <w:rtl/>
        </w:rPr>
        <w:t>4</w:t>
      </w:r>
      <w:r w:rsidRPr="00B20A4B">
        <w:rPr>
          <w:rFonts w:ascii="Simplified Arabic" w:hAnsi="Simplified Arabic" w:cs="Simplified Arabic"/>
          <w:sz w:val="32"/>
          <w:szCs w:val="32"/>
          <w:vertAlign w:val="superscript"/>
          <w:rtl/>
        </w:rPr>
        <w:t>)</w:t>
      </w:r>
      <w:r w:rsidRPr="00B20A4B">
        <w:rPr>
          <w:rFonts w:ascii="Simplified Arabic" w:hAnsi="Simplified Arabic" w:cs="Simplified Arabic" w:hint="cs"/>
          <w:sz w:val="32"/>
          <w:szCs w:val="32"/>
          <w:vertAlign w:val="superscript"/>
          <w:rtl/>
          <w:lang w:bidi="ar-DZ"/>
        </w:rPr>
        <w:t>.</w:t>
      </w:r>
      <w:r w:rsidRPr="00823B73">
        <w:rPr>
          <w:rFonts w:ascii="Simplified Arabic" w:hAnsi="Simplified Arabic" w:cs="Simplified Arabic" w:hint="cs"/>
          <w:sz w:val="32"/>
          <w:szCs w:val="32"/>
          <w:rtl/>
          <w:lang w:bidi="ar-DZ"/>
        </w:rPr>
        <w:t xml:space="preserve"> فالنص المكتوب، وقبل أن يكون كيانا لغويا، هو محفز على ممارسة فعل القراءة، يُستدعى فيه القارئ للمشاركة الفعلية في بناء النص، والإسهام في عملية تكوينه، فلم يعد مجرد متلقٍ سلبي لقيامه بنشاط ذهني مزدوج يتلقى اقتراحات المؤلف، ثم يعيد بناءها من جديد ليكتشف نصه الخاص</w:t>
      </w:r>
      <w:r w:rsidRPr="00B20A4B">
        <w:rPr>
          <w:rFonts w:ascii="Simplified Arabic" w:hAnsi="Simplified Arabic" w:cs="Simplified Arabic"/>
          <w:sz w:val="32"/>
          <w:szCs w:val="32"/>
          <w:vertAlign w:val="superscript"/>
          <w:rtl/>
        </w:rPr>
        <w:footnoteReference w:customMarkFollows="1" w:id="11"/>
        <w:t>(</w:t>
      </w:r>
      <w:r w:rsidRPr="00B20A4B">
        <w:rPr>
          <w:rFonts w:ascii="Simplified Arabic" w:hAnsi="Simplified Arabic" w:cs="Simplified Arabic" w:hint="cs"/>
          <w:sz w:val="32"/>
          <w:szCs w:val="32"/>
          <w:vertAlign w:val="superscript"/>
          <w:rtl/>
        </w:rPr>
        <w:t>5</w:t>
      </w:r>
      <w:r w:rsidRPr="00B20A4B">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هذا الذي ينأى بمعناه المنتج عن مقصديات الكاتب وميولاته الأيديولوجية.</w:t>
      </w:r>
    </w:p>
    <w:p w:rsidR="00365C2E" w:rsidRPr="00823B73"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ويسمح ما توافر في هذا المضمار من قرائن نصية معلنة أو مضمرة لمتلقي النص الشعري </w:t>
      </w:r>
      <w:r>
        <w:rPr>
          <w:rFonts w:ascii="Simplified Arabic" w:hAnsi="Simplified Arabic" w:cs="Simplified Arabic" w:hint="cs"/>
          <w:sz w:val="32"/>
          <w:szCs w:val="32"/>
          <w:rtl/>
          <w:lang w:bidi="ar-DZ"/>
        </w:rPr>
        <w:t>الحديث</w:t>
      </w:r>
      <w:r w:rsidRPr="00823B73">
        <w:rPr>
          <w:rFonts w:ascii="Simplified Arabic" w:hAnsi="Simplified Arabic" w:cs="Simplified Arabic" w:hint="cs"/>
          <w:sz w:val="32"/>
          <w:szCs w:val="32"/>
          <w:rtl/>
          <w:lang w:bidi="ar-DZ"/>
        </w:rPr>
        <w:t xml:space="preserve"> من تكييف استجابته له، مكونا أفق توقع يمكنه كلما تقدمت به القراءة أن يمتد أو يعدَّل أو يوجَّه وجهة أخرى، وفي هذه المرحلة لا يستطيع النتاج الأدبي الاستمرار في التأثير إلا إذا استقبله القراء على نحو دائم، ومتجدد حينها يتحول إلى موضوع تجربة أدبية، فالأمر، إذًا، يتعلق بإدراك حسي موجه؛ يتم وفق صيرورة تُطابق نوايا معينة وتحركها إشارات دالة، وحين يبلغ النص مستوى التأويل؛ فإنه يفترض دائما سياق التجربة السابقة الذي يندرج فيه الإدراك الجمالي</w:t>
      </w:r>
      <w:r w:rsidRPr="00B20A4B">
        <w:rPr>
          <w:rFonts w:ascii="Simplified Arabic" w:hAnsi="Simplified Arabic" w:cs="Simplified Arabic"/>
          <w:sz w:val="32"/>
          <w:szCs w:val="32"/>
          <w:vertAlign w:val="superscript"/>
          <w:rtl/>
        </w:rPr>
        <w:footnoteReference w:customMarkFollows="1" w:id="12"/>
        <w:t>(1)</w:t>
      </w:r>
      <w:r w:rsidRPr="00823B73">
        <w:rPr>
          <w:rFonts w:ascii="Simplified Arabic" w:hAnsi="Simplified Arabic" w:cs="Simplified Arabic" w:hint="cs"/>
          <w:sz w:val="32"/>
          <w:szCs w:val="32"/>
          <w:rtl/>
          <w:lang w:bidi="ar-DZ"/>
        </w:rPr>
        <w:t xml:space="preserve">.  </w:t>
      </w:r>
    </w:p>
    <w:p w:rsidR="00365C2E" w:rsidRPr="00823B73"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ومن هذه المحطة، يغدو تلقي النص الشعري، بمفهومه الجمالي، عملية ذات وجهين؛ أحدهما الأثر الذي يحدثه العمل الأدبي في القارئ، بوصفه عملا إبداعيا له ميزاته الخاصة، والآخر كيفية استقبال القارئ لهذا العمل أو استجابته له بطرق مختلفة حيث يمكنه الاكتفاء </w:t>
      </w:r>
      <w:r w:rsidRPr="00823B73">
        <w:rPr>
          <w:rFonts w:ascii="Simplified Arabic" w:hAnsi="Simplified Arabic" w:cs="Simplified Arabic" w:hint="cs"/>
          <w:sz w:val="32"/>
          <w:szCs w:val="32"/>
          <w:rtl/>
          <w:lang w:bidi="ar-DZ"/>
        </w:rPr>
        <w:lastRenderedPageBreak/>
        <w:t>باستهلاكه أو نقده أو الإعجاب به أو رفضه أو التلذذ بشكله أو تأويل مضمونه</w:t>
      </w:r>
      <w:r w:rsidRPr="00B20A4B">
        <w:rPr>
          <w:rFonts w:ascii="Simplified Arabic" w:hAnsi="Simplified Arabic" w:cs="Simplified Arabic"/>
          <w:sz w:val="32"/>
          <w:szCs w:val="32"/>
          <w:vertAlign w:val="superscript"/>
          <w:rtl/>
        </w:rPr>
        <w:footnoteReference w:customMarkFollows="1" w:id="13"/>
        <w:t>(</w:t>
      </w:r>
      <w:r w:rsidRPr="00B20A4B">
        <w:rPr>
          <w:rFonts w:ascii="Simplified Arabic" w:hAnsi="Simplified Arabic" w:cs="Simplified Arabic" w:hint="cs"/>
          <w:sz w:val="32"/>
          <w:szCs w:val="32"/>
          <w:vertAlign w:val="superscript"/>
          <w:rtl/>
        </w:rPr>
        <w:t>2</w:t>
      </w:r>
      <w:r w:rsidRPr="00B20A4B">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وهي طرق تمنح العمل الأدبي معانٍ متجددة باستمرار بتضافر أفق التوقع المفترض.</w:t>
      </w:r>
    </w:p>
    <w:p w:rsidR="00365C2E" w:rsidRPr="00823B73"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 xml:space="preserve">هكذا تمثل الحياة مادة تستنفر قدرات الكاتب الفنية في التعبير عن ذاته، التي تقتضي من منظور واقعي حدًّا أدنى </w:t>
      </w:r>
      <w:r>
        <w:rPr>
          <w:rFonts w:ascii="Simplified Arabic" w:hAnsi="Simplified Arabic" w:cs="Simplified Arabic" w:hint="cs"/>
          <w:sz w:val="32"/>
          <w:szCs w:val="32"/>
          <w:rtl/>
          <w:lang w:bidi="ar-DZ"/>
        </w:rPr>
        <w:t>من الحرية، حيث تعدّ شرطا ضروريا</w:t>
      </w:r>
      <w:r w:rsidRPr="00823B73">
        <w:rPr>
          <w:rFonts w:ascii="Simplified Arabic" w:hAnsi="Simplified Arabic" w:cs="Simplified Arabic" w:hint="cs"/>
          <w:sz w:val="32"/>
          <w:szCs w:val="32"/>
          <w:rtl/>
          <w:lang w:bidi="ar-DZ"/>
        </w:rPr>
        <w:t xml:space="preserve"> لميلاد المنتج الإبداعي وتطوره، وغيابها يحيل كتابة الذات إلى عملية يشوبها الصراع والمواجهة، لما لقول الحقيقة من أثر تتعالق فيه أطراف كثيرة. </w:t>
      </w:r>
    </w:p>
    <w:p w:rsidR="00365C2E" w:rsidRPr="00823B73"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إنّ نوعية العلاقة التي تربط القارئ بالنص "تتحدد من خلال وعي الذات بنفسها ووعيها بالنص الذي تتلقاه؛ فالذات المدركة من جانب والنص المدرك من جانب آخر يتم التفاعل بينهما طبقا للتصورات العامة السائدة"</w:t>
      </w:r>
      <w:r w:rsidRPr="00B20A4B">
        <w:rPr>
          <w:rFonts w:ascii="Simplified Arabic" w:hAnsi="Simplified Arabic" w:cs="Simplified Arabic"/>
          <w:sz w:val="32"/>
          <w:szCs w:val="32"/>
          <w:vertAlign w:val="superscript"/>
          <w:rtl/>
        </w:rPr>
        <w:footnoteReference w:customMarkFollows="1" w:id="14"/>
        <w:t>(</w:t>
      </w:r>
      <w:r w:rsidRPr="00B20A4B">
        <w:rPr>
          <w:rFonts w:ascii="Simplified Arabic" w:hAnsi="Simplified Arabic" w:cs="Simplified Arabic" w:hint="cs"/>
          <w:sz w:val="32"/>
          <w:szCs w:val="32"/>
          <w:vertAlign w:val="superscript"/>
          <w:rtl/>
        </w:rPr>
        <w:t>3</w:t>
      </w:r>
      <w:r w:rsidRPr="00B20A4B">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ومنها تستند القراءة إلى عاملين أساسيين هما: إدراك تجربة الكاتب الحياتية، ووعي هذه التجربة إبداعًا وكتابة، بتحويل التفاصيلَ الجزئية والحقائق الواقعية والمعلومات المطروحة والمعرفة المتنوعة والخبرات الحياتية والاجتماعية، إلى قضية تحرك دواعي الإبداع لدى الكاتب الذي يقلقه أمر إحداث تغيير في واقعه الاجتماعي</w:t>
      </w:r>
      <w:r w:rsidRPr="00B20A4B">
        <w:rPr>
          <w:rFonts w:ascii="Simplified Arabic" w:hAnsi="Simplified Arabic" w:cs="Simplified Arabic"/>
          <w:sz w:val="32"/>
          <w:szCs w:val="32"/>
          <w:vertAlign w:val="superscript"/>
          <w:rtl/>
        </w:rPr>
        <w:footnoteReference w:customMarkFollows="1" w:id="15"/>
        <w:t>(</w:t>
      </w:r>
      <w:r w:rsidRPr="00B20A4B">
        <w:rPr>
          <w:rFonts w:ascii="Simplified Arabic" w:hAnsi="Simplified Arabic" w:cs="Simplified Arabic" w:hint="cs"/>
          <w:sz w:val="32"/>
          <w:szCs w:val="32"/>
          <w:vertAlign w:val="superscript"/>
          <w:rtl/>
        </w:rPr>
        <w:t>1</w:t>
      </w:r>
      <w:r w:rsidRPr="00B20A4B">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w:t>
      </w:r>
    </w:p>
    <w:p w:rsidR="00365C2E" w:rsidRDefault="00365C2E" w:rsidP="00365C2E">
      <w:pPr>
        <w:spacing w:line="276" w:lineRule="auto"/>
        <w:ind w:firstLine="720"/>
        <w:jc w:val="both"/>
        <w:rPr>
          <w:rFonts w:ascii="Simplified Arabic" w:hAnsi="Simplified Arabic" w:cs="Simplified Arabic"/>
          <w:sz w:val="32"/>
          <w:szCs w:val="32"/>
          <w:rtl/>
          <w:lang w:bidi="ar-DZ"/>
        </w:rPr>
      </w:pPr>
      <w:r w:rsidRPr="00823B73">
        <w:rPr>
          <w:rFonts w:ascii="Simplified Arabic" w:hAnsi="Simplified Arabic" w:cs="Simplified Arabic" w:hint="cs"/>
          <w:sz w:val="32"/>
          <w:szCs w:val="32"/>
          <w:rtl/>
          <w:lang w:bidi="ar-DZ"/>
        </w:rPr>
        <w:t>والوعي من وجهة نظر أخرى مسألة أساسية و"سمة ذات مردود كبير على من يتصف بها؛ لأنها تمكنه من معرفة الحقائق والأمور والإلمام بها، ورصد العلاقات الانسانية المتغيرة، وتقويم أفعال الناس والظواهر الاجتماعية"</w:t>
      </w:r>
      <w:r w:rsidRPr="00B20A4B">
        <w:rPr>
          <w:rFonts w:ascii="Simplified Arabic" w:hAnsi="Simplified Arabic" w:cs="Simplified Arabic"/>
          <w:sz w:val="32"/>
          <w:szCs w:val="32"/>
          <w:vertAlign w:val="superscript"/>
          <w:rtl/>
        </w:rPr>
        <w:footnoteReference w:customMarkFollows="1" w:id="16"/>
        <w:t>(</w:t>
      </w:r>
      <w:r w:rsidRPr="00B20A4B">
        <w:rPr>
          <w:rFonts w:ascii="Simplified Arabic" w:hAnsi="Simplified Arabic" w:cs="Simplified Arabic" w:hint="cs"/>
          <w:sz w:val="32"/>
          <w:szCs w:val="32"/>
          <w:vertAlign w:val="superscript"/>
          <w:rtl/>
        </w:rPr>
        <w:t>2</w:t>
      </w:r>
      <w:r w:rsidRPr="00B20A4B">
        <w:rPr>
          <w:rFonts w:ascii="Simplified Arabic" w:hAnsi="Simplified Arabic" w:cs="Simplified Arabic"/>
          <w:sz w:val="32"/>
          <w:szCs w:val="32"/>
          <w:vertAlign w:val="superscript"/>
          <w:rtl/>
        </w:rPr>
        <w:t>)</w:t>
      </w:r>
      <w:r w:rsidRPr="00823B73">
        <w:rPr>
          <w:rFonts w:ascii="Simplified Arabic" w:hAnsi="Simplified Arabic" w:cs="Simplified Arabic" w:hint="cs"/>
          <w:sz w:val="32"/>
          <w:szCs w:val="32"/>
          <w:rtl/>
          <w:lang w:bidi="ar-DZ"/>
        </w:rPr>
        <w:t xml:space="preserve">. فالقارئ بما يملكه من وعي شريكٌ في الدفع بالنص الشعري إلى ما يحفظ له بقاءه، شاهدا على حياة فرد تميز بإبداعه وتجربته وعمق نظرته، ولا يسعه أحيانا أن يوجه دعوةً إلى هذا القارئ؛ كي يشاركه في تأملاته وحركاته وسكناته. لقد صار وعي إشكاليات الوجود والهوية واللغة والمجتمع لازمة ضرورية كي يتحقق الهدف الأسمى للكتابة وإلا كان مآلها الزوال. فالأمر موكول إذًا للمدى الذي </w:t>
      </w:r>
      <w:r w:rsidRPr="00823B73">
        <w:rPr>
          <w:rFonts w:ascii="Simplified Arabic" w:hAnsi="Simplified Arabic" w:cs="Simplified Arabic" w:hint="cs"/>
          <w:sz w:val="32"/>
          <w:szCs w:val="32"/>
          <w:rtl/>
          <w:lang w:bidi="ar-DZ"/>
        </w:rPr>
        <w:lastRenderedPageBreak/>
        <w:t xml:space="preserve">يمكن أن يقطعه النص الشعري بأدواره التي يؤديها لأجل الوصول إلى تجسيد مهامه المنوطة به. </w:t>
      </w:r>
    </w:p>
    <w:p w:rsidR="007707CF" w:rsidRDefault="007707CF" w:rsidP="00365C2E">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2B6" w:rsidRDefault="00BA52B6" w:rsidP="00365C2E">
      <w:r>
        <w:separator/>
      </w:r>
    </w:p>
  </w:endnote>
  <w:endnote w:type="continuationSeparator" w:id="1">
    <w:p w:rsidR="00BA52B6" w:rsidRDefault="00BA52B6" w:rsidP="00365C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2B6" w:rsidRDefault="00BA52B6" w:rsidP="00365C2E">
      <w:r>
        <w:separator/>
      </w:r>
    </w:p>
  </w:footnote>
  <w:footnote w:type="continuationSeparator" w:id="1">
    <w:p w:rsidR="00BA52B6" w:rsidRDefault="00BA52B6" w:rsidP="00365C2E">
      <w:r>
        <w:continuationSeparator/>
      </w:r>
    </w:p>
  </w:footnote>
  <w:footnote w:id="2">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سيزا قاسم: القارئ والنص(العلامة والدلالة)، ص127.</w:t>
      </w:r>
    </w:p>
  </w:footnote>
  <w:footnote w:id="3">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سعيد يقطين: انفتاح النص الروائي(النص والسياق)، ص76.</w:t>
      </w:r>
    </w:p>
  </w:footnote>
  <w:footnote w:id="4">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ينظر: عبد الله الغذامي: تشريح النص، ص51.</w:t>
      </w:r>
    </w:p>
  </w:footnote>
  <w:footnote w:id="5">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ينظر: </w:t>
      </w:r>
      <w:r w:rsidRPr="00C6098E">
        <w:rPr>
          <w:rFonts w:ascii="Simplified Arabic" w:hAnsi="Simplified Arabic" w:cs="Simplified Arabic"/>
          <w:sz w:val="24"/>
          <w:szCs w:val="24"/>
          <w:rtl/>
          <w:lang w:bidi="ar-DZ"/>
        </w:rPr>
        <w:t>سيزا قاسم: القارئ والنص(العلامة والدلالة)، ص193.</w:t>
      </w:r>
    </w:p>
  </w:footnote>
  <w:footnote w:id="6">
    <w:p w:rsidR="00365C2E" w:rsidRPr="00C6098E" w:rsidRDefault="00365C2E" w:rsidP="00365C2E">
      <w:pPr>
        <w:pStyle w:val="Notedebasdepage"/>
        <w:jc w:val="lowKashida"/>
        <w:rPr>
          <w:rFonts w:ascii="Simplified Arabic" w:hAnsi="Simplified Arabic" w:cs="Simplified Arabic"/>
          <w:sz w:val="24"/>
          <w:szCs w:val="24"/>
          <w:rtl/>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عبد الغني بارة: الهرمينوطيقا والفلسفة (نحو مشروع عقل تأويلي)، ص285.</w:t>
      </w:r>
    </w:p>
  </w:footnote>
  <w:footnote w:id="7">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إدوارد سعيد: خارج المكان، ص284.</w:t>
      </w:r>
    </w:p>
  </w:footnote>
  <w:footnote w:id="8">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سعيد توفيق: الخبرة الجمالية(دراسة في فلسفة الجمال الظاهراتية)، ص139.</w:t>
      </w:r>
    </w:p>
  </w:footnote>
  <w:footnote w:id="9">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عبد الله الغذامي: الخطيئة والتكفير، ص81.</w:t>
      </w:r>
    </w:p>
  </w:footnote>
  <w:footnote w:id="10">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(4)</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بشرى موسى صالح: نظرية التلقي- أصول وتطبيقات، ص43.</w:t>
      </w:r>
    </w:p>
  </w:footnote>
  <w:footnote w:id="11">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(5)</w:t>
      </w:r>
      <w:r w:rsidRPr="00C6098E">
        <w:rPr>
          <w:rFonts w:ascii="Simplified Arabic" w:hAnsi="Simplified Arabic" w:cs="Simplified Arabic"/>
          <w:sz w:val="24"/>
          <w:szCs w:val="24"/>
          <w:rtl/>
        </w:rPr>
        <w:t xml:space="preserve"> ينظر: </w:t>
      </w:r>
      <w:r w:rsidRPr="00C6098E">
        <w:rPr>
          <w:rFonts w:ascii="Simplified Arabic" w:hAnsi="Simplified Arabic" w:cs="Simplified Arabic"/>
          <w:sz w:val="24"/>
          <w:szCs w:val="24"/>
          <w:rtl/>
          <w:lang w:bidi="ar-DZ"/>
        </w:rPr>
        <w:t>حميد لحميداني: القراءة وتوليد الدلالة، ص13.</w:t>
      </w:r>
    </w:p>
  </w:footnote>
  <w:footnote w:id="12">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ينظر: </w:t>
      </w:r>
      <w:r w:rsidRPr="00C6098E">
        <w:rPr>
          <w:rFonts w:ascii="Simplified Arabic" w:hAnsi="Simplified Arabic" w:cs="Simplified Arabic"/>
          <w:sz w:val="24"/>
          <w:szCs w:val="24"/>
          <w:rtl/>
          <w:lang w:bidi="ar-DZ"/>
        </w:rPr>
        <w:t>هانس روبيرت ياوس: جمالية التلقي، ص45.</w:t>
      </w:r>
    </w:p>
  </w:footnote>
  <w:footnote w:id="13">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ينظر: المرجع نفسه، ص101.</w:t>
      </w:r>
    </w:p>
  </w:footnote>
  <w:footnote w:id="14">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(3)</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سيزا قاسم: القارئ والنص(العلامة والدلالة)، ص107.</w:t>
      </w:r>
    </w:p>
  </w:footnote>
  <w:footnote w:id="15">
    <w:p w:rsidR="00365C2E" w:rsidRPr="00C6098E" w:rsidRDefault="00365C2E" w:rsidP="00365C2E">
      <w:pPr>
        <w:pStyle w:val="Notedebasdepage"/>
        <w:jc w:val="lowKashida"/>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tl/>
        </w:rPr>
        <w:t>(1)</w:t>
      </w:r>
      <w:r w:rsidRPr="00C6098E">
        <w:rPr>
          <w:rFonts w:ascii="Simplified Arabic" w:hAnsi="Simplified Arabic" w:cs="Simplified Arabic"/>
          <w:sz w:val="24"/>
          <w:szCs w:val="24"/>
          <w:rtl/>
        </w:rPr>
        <w:t xml:space="preserve"> ينظر: عبد الله رضوان: البنى السردية، د/ ط، دار الكندي للنشر والتوزيع، إربد، الأردن، 2002، ص511.</w:t>
      </w:r>
    </w:p>
  </w:footnote>
  <w:footnote w:id="16">
    <w:p w:rsidR="00365C2E" w:rsidRPr="00C6098E" w:rsidRDefault="00365C2E" w:rsidP="00365C2E">
      <w:pPr>
        <w:pStyle w:val="Notedebasdepage"/>
        <w:jc w:val="lowKashida"/>
        <w:rPr>
          <w:rFonts w:ascii="Simplified Arabic" w:hAnsi="Simplified Arabic" w:cs="Simplified Arabic"/>
          <w:sz w:val="24"/>
          <w:szCs w:val="24"/>
          <w:rtl/>
          <w:lang w:bidi="ar-DZ"/>
        </w:rPr>
      </w:pPr>
      <w:r w:rsidRPr="00C6098E">
        <w:rPr>
          <w:rStyle w:val="Appelnotedebasdep"/>
          <w:rFonts w:ascii="Simplified Arabic" w:hAnsi="Simplified Arabic" w:cs="Simplified Arabic"/>
          <w:sz w:val="24"/>
          <w:szCs w:val="24"/>
          <w:rtl/>
        </w:rPr>
        <w:t>(2)</w:t>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xml:space="preserve">مرشد أحمد: أنسنة المكان في روايات عيد الرحمان منيف، د/ ط، دار الوفاء، الاسكندرية، مصر، 2002، ص13.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5C2E"/>
    <w:rsid w:val="0018765E"/>
    <w:rsid w:val="002249C5"/>
    <w:rsid w:val="00365334"/>
    <w:rsid w:val="00365C2E"/>
    <w:rsid w:val="003970E9"/>
    <w:rsid w:val="007707CF"/>
    <w:rsid w:val="009F612A"/>
    <w:rsid w:val="00A66589"/>
    <w:rsid w:val="00A774B5"/>
    <w:rsid w:val="00BA52B6"/>
    <w:rsid w:val="00BB03D8"/>
    <w:rsid w:val="00D72BE8"/>
    <w:rsid w:val="00E03FE8"/>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C2E"/>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365C2E"/>
    <w:rPr>
      <w:sz w:val="20"/>
      <w:szCs w:val="20"/>
    </w:rPr>
  </w:style>
  <w:style w:type="character" w:customStyle="1" w:styleId="NotedebasdepageCar">
    <w:name w:val="Note de bas de page Car"/>
    <w:basedOn w:val="Policepardfaut"/>
    <w:link w:val="Notedebasdepage"/>
    <w:rsid w:val="00365C2E"/>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365C2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1112</Words>
  <Characters>6116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2021-01-31T20:32:00Z</dcterms:created>
  <dcterms:modified xsi:type="dcterms:W3CDTF">2021-01-31T21:57:00Z</dcterms:modified>
</cp:coreProperties>
</file>