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eastAsia="fr-FR" w:bidi="ar-DZ"/>
        </w:rPr>
        <w:t>عناوين المحاضرات :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المحاضرة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الأولى:  ماهية التحرير الصحفي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الثانية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مواصفات الصحفي الناجح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الثالثة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 خصوصية الكتابة الصحفية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الرابعة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السياسة التحريرية والعوامل المؤثرة فيها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الخامسة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الخبر في الصحافة المكتوبة مفهومه وخصائصه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السادسة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معايير اختيار الأخبار الصحفية ( القيم الصحفية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proofErr w:type="spell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االمحاضرة</w:t>
      </w:r>
      <w:proofErr w:type="spell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السابعة   : مصادر الخبر الصحفي وأنواعه .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الحاضرة  الثامنة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: العناوين والمقدمات الصحفية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التاسعة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القوالب الصحفية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العاشرة:  تصنيفات الأنواع الصحفية والتطورات  الحاصلة عليها 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الحادي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عشر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 الأنواع الإخبارية ( الخبر - الحديث الصحفي – التقرير)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المحاضرة الثانية عشر: الأنواع الصحفية الوصفية أو التعبيرية (</w:t>
      </w:r>
      <w:proofErr w:type="spell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والروبرتاج</w:t>
      </w:r>
      <w:proofErr w:type="spell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و </w:t>
      </w:r>
      <w:proofErr w:type="spell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البورتري</w:t>
      </w:r>
      <w:proofErr w:type="spell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الصحفي)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المحاضرة الثالثة عشر : أنواع الرأي (المقال -الافتتاحية – العمود- الافتتاحية – التعليق –الكاريكاتير) </w:t>
      </w:r>
    </w:p>
    <w:p w:rsidR="001D0679" w:rsidRPr="001D0679" w:rsidRDefault="001D0679" w:rsidP="001D0679">
      <w:pPr>
        <w:bidi/>
        <w:spacing w:after="200" w:line="276" w:lineRule="auto"/>
        <w:ind w:left="-242"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>الرابعة :</w:t>
      </w:r>
      <w:proofErr w:type="gramEnd"/>
      <w:r w:rsidRPr="001D0679"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  <w:t xml:space="preserve"> الأنواع  الصحفية الاستقصائية ( التحقيق الصحفي )</w:t>
      </w:r>
    </w:p>
    <w:p w:rsidR="001D0679" w:rsidRPr="001D0679" w:rsidRDefault="001D0679" w:rsidP="001D0679">
      <w:pPr>
        <w:bidi/>
        <w:spacing w:after="200" w:line="276" w:lineRule="auto"/>
        <w:ind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</w:p>
    <w:p w:rsidR="001D0679" w:rsidRPr="001D0679" w:rsidRDefault="001D0679" w:rsidP="001D0679">
      <w:pPr>
        <w:bidi/>
        <w:spacing w:after="200" w:line="276" w:lineRule="auto"/>
        <w:ind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</w:p>
    <w:p w:rsidR="001D0679" w:rsidRPr="001D0679" w:rsidRDefault="001D0679" w:rsidP="001D0679">
      <w:pPr>
        <w:bidi/>
        <w:spacing w:after="200" w:line="276" w:lineRule="auto"/>
        <w:ind w:right="-426"/>
        <w:jc w:val="left"/>
        <w:rPr>
          <w:rFonts w:ascii="Simplified Arabic" w:eastAsia="Arial Unicode MS" w:hAnsi="Simplified Arabic" w:cs="Simplified Arabic"/>
          <w:sz w:val="32"/>
          <w:szCs w:val="32"/>
          <w:rtl/>
          <w:lang w:eastAsia="fr-FR" w:bidi="ar-DZ"/>
        </w:rPr>
      </w:pPr>
    </w:p>
    <w:p w:rsidR="00ED565A" w:rsidRPr="001D0679" w:rsidRDefault="00ED565A" w:rsidP="001D0679">
      <w:pPr>
        <w:bidi/>
        <w:rPr>
          <w:sz w:val="32"/>
          <w:szCs w:val="32"/>
          <w:lang w:bidi="ar-DZ"/>
        </w:rPr>
      </w:pPr>
    </w:p>
    <w:sectPr w:rsidR="00ED565A" w:rsidRPr="001D0679" w:rsidSect="00ED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0679"/>
    <w:rsid w:val="001D0679"/>
    <w:rsid w:val="00E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79"/>
    <w:pPr>
      <w:spacing w:after="160" w:line="259" w:lineRule="auto"/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2021-02-09T19:00:00Z</dcterms:created>
  <dcterms:modified xsi:type="dcterms:W3CDTF">2021-02-09T19:02:00Z</dcterms:modified>
</cp:coreProperties>
</file>