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66" w:rsidRPr="00E84B12" w:rsidRDefault="00366B66" w:rsidP="00366B66">
      <w:pPr>
        <w:tabs>
          <w:tab w:val="left" w:pos="3710"/>
          <w:tab w:val="center" w:pos="4677"/>
        </w:tabs>
        <w:spacing w:before="120" w:after="120" w:line="360" w:lineRule="auto"/>
        <w:ind w:left="567" w:firstLine="0"/>
        <w:rPr>
          <w:rFonts w:ascii="Traditional Arabic" w:hAnsi="Traditional Arabic"/>
          <w:b/>
          <w:bCs/>
          <w:color w:val="000000"/>
          <w:u w:val="single"/>
          <w:rtl/>
          <w:lang w:bidi="ar-DZ"/>
        </w:rPr>
      </w:pPr>
      <w:bookmarkStart w:id="0" w:name="_GoBack"/>
      <w:bookmarkEnd w:id="0"/>
      <w:r w:rsidRPr="003374FD">
        <w:rPr>
          <w:color w:val="000000"/>
          <w:sz w:val="40"/>
          <w:szCs w:val="40"/>
          <w:rtl/>
        </w:rPr>
        <w:tab/>
      </w:r>
      <w:r w:rsidRPr="00E84B12">
        <w:rPr>
          <w:rFonts w:ascii="Traditional Arabic" w:hAnsi="Traditional Arabic"/>
          <w:b/>
          <w:bCs/>
          <w:color w:val="000000"/>
          <w:u w:val="single"/>
          <w:rtl/>
          <w:lang w:bidi="ar-DZ"/>
        </w:rPr>
        <w:t>المحاضرة التاسعة:</w:t>
      </w:r>
    </w:p>
    <w:p w:rsidR="00366B66" w:rsidRPr="00E84B12" w:rsidRDefault="00366B66" w:rsidP="00366B66">
      <w:pPr>
        <w:spacing w:before="120" w:after="120" w:line="360" w:lineRule="auto"/>
        <w:ind w:left="567" w:firstLine="0"/>
        <w:jc w:val="center"/>
        <w:rPr>
          <w:rFonts w:ascii="Traditional Arabic" w:hAnsi="Traditional Arabic"/>
          <w:b/>
          <w:bCs/>
          <w:color w:val="000000"/>
          <w:u w:val="single"/>
          <w:rtl/>
          <w:lang w:bidi="ar-DZ"/>
        </w:rPr>
      </w:pPr>
      <w:r w:rsidRPr="00E84B12">
        <w:rPr>
          <w:rFonts w:ascii="Traditional Arabic" w:hAnsi="Traditional Arabic"/>
          <w:b/>
          <w:bCs/>
          <w:color w:val="000000"/>
          <w:u w:val="single"/>
          <w:rtl/>
          <w:lang w:bidi="ar-DZ"/>
        </w:rPr>
        <w:t xml:space="preserve"> النهضة الأوروبية: الترجمة، نهضة الأدب، الفنون والعلوم</w:t>
      </w:r>
    </w:p>
    <w:p w:rsidR="00366B66" w:rsidRPr="00E84B12" w:rsidRDefault="00366B66" w:rsidP="00366B66">
      <w:pPr>
        <w:spacing w:before="120" w:after="120" w:line="360" w:lineRule="auto"/>
        <w:ind w:firstLine="0"/>
        <w:jc w:val="both"/>
        <w:rPr>
          <w:rFonts w:ascii="Traditional Arabic" w:hAnsi="Traditional Arabic"/>
          <w:b/>
          <w:bCs/>
          <w:color w:val="000000"/>
          <w:u w:val="single"/>
          <w:rtl/>
        </w:rPr>
      </w:pPr>
      <w:r w:rsidRPr="00E84B12">
        <w:rPr>
          <w:rFonts w:ascii="Traditional Arabic" w:hAnsi="Traditional Arabic"/>
          <w:b/>
          <w:bCs/>
          <w:color w:val="000000"/>
          <w:u w:val="single"/>
          <w:rtl/>
        </w:rPr>
        <w:t>أولا. تمهيد</w:t>
      </w:r>
    </w:p>
    <w:p w:rsidR="00366B66" w:rsidRPr="001D50E9" w:rsidRDefault="00366B66" w:rsidP="00366B66">
      <w:pPr>
        <w:spacing w:before="120" w:after="120" w:line="360" w:lineRule="auto"/>
        <w:jc w:val="both"/>
        <w:rPr>
          <w:rFonts w:ascii="Traditional Arabic" w:hAnsi="Traditional Arabic"/>
          <w:color w:val="000000"/>
          <w:rtl/>
          <w:lang w:bidi="ar-AE"/>
        </w:rPr>
      </w:pPr>
      <w:r w:rsidRPr="001D50E9">
        <w:rPr>
          <w:rFonts w:ascii="Traditional Arabic" w:hAnsi="Traditional Arabic"/>
          <w:color w:val="000000"/>
          <w:rtl/>
          <w:lang w:bidi="ar-AE"/>
        </w:rPr>
        <w:t>إن النهضة الأوروبية مصطلح يطلق على فترة الانتقال من العصور الوسطى إلى العصور الحديثة وهي القرون 14 - 16 ويؤرخ لها بسقوط القسطنطينية عام 1453م حيث نزح العلماء إلى إيطاليا حاملين معهم تراث اليونان والرومان. كما يدل مصطلح عصر النهضة على التيارات الثقافية والفكرية التي بدأت في البلاد الإيطالية في القرن 14؛ حيث بلغت أوج ازدهارها في القرنين 15 و16.ومن إيطاليا انتشرت النهضة إلى فرنسا وإسبانيا وألمانيا وهولندا وإنكلترا وإلى سائر أوروبا.</w:t>
      </w:r>
    </w:p>
    <w:p w:rsidR="00366B66" w:rsidRPr="001D50E9" w:rsidRDefault="00366B66" w:rsidP="00366B66">
      <w:pPr>
        <w:spacing w:before="120" w:after="120" w:line="360" w:lineRule="auto"/>
        <w:jc w:val="both"/>
        <w:rPr>
          <w:rFonts w:ascii="Traditional Arabic" w:hAnsi="Traditional Arabic"/>
          <w:color w:val="000000"/>
          <w:rtl/>
          <w:lang w:bidi="ar-AE"/>
        </w:rPr>
      </w:pPr>
      <w:r w:rsidRPr="001D50E9">
        <w:rPr>
          <w:rFonts w:ascii="Traditional Arabic" w:hAnsi="Traditional Arabic"/>
          <w:color w:val="000000"/>
          <w:rtl/>
          <w:lang w:bidi="ar-AE"/>
        </w:rPr>
        <w:t xml:space="preserve">ازدهر شأن النهضة الإيطالية؛ إذ وجدت لها أنصاراً يصرفون عليها المال الوفير؛ مثل أسرة </w:t>
      </w:r>
      <w:proofErr w:type="spellStart"/>
      <w:r w:rsidRPr="001D50E9">
        <w:rPr>
          <w:rFonts w:ascii="Traditional Arabic" w:hAnsi="Traditional Arabic"/>
          <w:color w:val="000000"/>
          <w:rtl/>
          <w:lang w:bidi="ar-AE"/>
        </w:rPr>
        <w:t>ميديشي</w:t>
      </w:r>
      <w:proofErr w:type="spellEnd"/>
      <w:r w:rsidRPr="001D50E9">
        <w:rPr>
          <w:rFonts w:ascii="Traditional Arabic" w:hAnsi="Traditional Arabic"/>
          <w:color w:val="000000"/>
          <w:rtl/>
          <w:lang w:bidi="ar-AE"/>
        </w:rPr>
        <w:t xml:space="preserve"> في فلورنسا، </w:t>
      </w:r>
      <w:proofErr w:type="spellStart"/>
      <w:r w:rsidRPr="001D50E9">
        <w:rPr>
          <w:rFonts w:ascii="Traditional Arabic" w:hAnsi="Traditional Arabic"/>
          <w:color w:val="000000"/>
          <w:rtl/>
          <w:lang w:bidi="ar-AE"/>
        </w:rPr>
        <w:t>وسوفرزا</w:t>
      </w:r>
      <w:proofErr w:type="spellEnd"/>
      <w:r w:rsidRPr="001D50E9">
        <w:rPr>
          <w:rFonts w:ascii="Traditional Arabic" w:hAnsi="Traditional Arabic"/>
          <w:color w:val="000000"/>
          <w:rtl/>
          <w:lang w:bidi="ar-AE"/>
        </w:rPr>
        <w:t xml:space="preserve"> في ميلانو، </w:t>
      </w:r>
      <w:proofErr w:type="spellStart"/>
      <w:r w:rsidRPr="001D50E9">
        <w:rPr>
          <w:rFonts w:ascii="Traditional Arabic" w:hAnsi="Traditional Arabic"/>
          <w:color w:val="000000"/>
          <w:rtl/>
          <w:lang w:bidi="ar-AE"/>
        </w:rPr>
        <w:t>والبابوات</w:t>
      </w:r>
      <w:proofErr w:type="spellEnd"/>
      <w:r w:rsidRPr="001D50E9">
        <w:rPr>
          <w:rFonts w:ascii="Traditional Arabic" w:hAnsi="Traditional Arabic"/>
          <w:color w:val="000000"/>
          <w:rtl/>
          <w:lang w:bidi="ar-AE"/>
        </w:rPr>
        <w:t xml:space="preserve"> في روما. بلغت البندقية ذروة عظمتها الثقافية في أواخر القرن 16.</w:t>
      </w:r>
    </w:p>
    <w:p w:rsidR="00366B66" w:rsidRPr="001D50E9" w:rsidRDefault="00366B66" w:rsidP="00366B66">
      <w:pPr>
        <w:spacing w:before="120" w:after="120" w:line="360" w:lineRule="auto"/>
        <w:jc w:val="both"/>
        <w:rPr>
          <w:rFonts w:ascii="Traditional Arabic" w:hAnsi="Traditional Arabic"/>
          <w:color w:val="000000"/>
          <w:rtl/>
          <w:lang w:bidi="ar-AE"/>
        </w:rPr>
      </w:pPr>
      <w:r w:rsidRPr="001D50E9">
        <w:rPr>
          <w:rFonts w:ascii="Traditional Arabic" w:hAnsi="Traditional Arabic"/>
          <w:color w:val="000000"/>
          <w:rtl/>
          <w:lang w:bidi="ar-AE"/>
        </w:rPr>
        <w:t xml:space="preserve">ومن أعظم شخصيات النهضة في المجال الفني ليوناردو دافنشي ومايكل </w:t>
      </w:r>
      <w:proofErr w:type="spellStart"/>
      <w:r w:rsidRPr="001D50E9">
        <w:rPr>
          <w:rFonts w:ascii="Traditional Arabic" w:hAnsi="Traditional Arabic"/>
          <w:color w:val="000000"/>
          <w:rtl/>
          <w:lang w:bidi="ar-AE"/>
        </w:rPr>
        <w:t>أنجيلو</w:t>
      </w:r>
      <w:proofErr w:type="spellEnd"/>
      <w:r w:rsidRPr="001D50E9">
        <w:rPr>
          <w:rFonts w:ascii="Traditional Arabic" w:hAnsi="Traditional Arabic"/>
          <w:color w:val="000000"/>
          <w:rtl/>
          <w:lang w:bidi="ar-AE"/>
        </w:rPr>
        <w:t xml:space="preserve"> </w:t>
      </w:r>
      <w:proofErr w:type="spellStart"/>
      <w:r w:rsidRPr="001D50E9">
        <w:rPr>
          <w:rFonts w:ascii="Traditional Arabic" w:hAnsi="Traditional Arabic"/>
          <w:color w:val="000000"/>
          <w:rtl/>
          <w:lang w:bidi="ar-AE"/>
        </w:rPr>
        <w:t>وميكيافيلي</w:t>
      </w:r>
      <w:proofErr w:type="spellEnd"/>
      <w:r w:rsidRPr="001D50E9">
        <w:rPr>
          <w:rFonts w:ascii="Traditional Arabic" w:hAnsi="Traditional Arabic"/>
          <w:color w:val="000000"/>
          <w:rtl/>
          <w:lang w:bidi="ar-AE"/>
        </w:rPr>
        <w:t xml:space="preserve">، وغيرهم، وكان لهذه الحقبة تأثير واسع في الفن والعمارة وتكوين العقل الحديث وعودة واعية للمثل العليا والأنماط الكلاسيكية. في هذه الفترة تم اكتشاف أراضي وشعوب جديدة حيث اتسمت هذه الفترة بظهور طائفة كبيرة من الرحالة والمستكشفين والملاحين منهم: الأمير هنري الملاح وكرستوفر كولومبوس، وفاسكو دي </w:t>
      </w:r>
      <w:proofErr w:type="spellStart"/>
      <w:r w:rsidRPr="001D50E9">
        <w:rPr>
          <w:rFonts w:ascii="Traditional Arabic" w:hAnsi="Traditional Arabic"/>
          <w:color w:val="000000"/>
          <w:rtl/>
          <w:lang w:bidi="ar-AE"/>
        </w:rPr>
        <w:t>كاما</w:t>
      </w:r>
      <w:proofErr w:type="spellEnd"/>
      <w:r w:rsidRPr="001D50E9">
        <w:rPr>
          <w:rFonts w:ascii="Traditional Arabic" w:hAnsi="Traditional Arabic"/>
          <w:color w:val="000000"/>
          <w:rtl/>
          <w:lang w:bidi="ar-AE"/>
        </w:rPr>
        <w:t>.</w:t>
      </w:r>
    </w:p>
    <w:p w:rsidR="00366B66" w:rsidRPr="001D50E9" w:rsidRDefault="00366B66" w:rsidP="00366B66">
      <w:pPr>
        <w:spacing w:before="120" w:after="120" w:line="360" w:lineRule="auto"/>
        <w:ind w:firstLine="0"/>
        <w:jc w:val="both"/>
        <w:rPr>
          <w:rFonts w:ascii="Traditional Arabic" w:hAnsi="Traditional Arabic"/>
          <w:b/>
          <w:bCs/>
          <w:color w:val="000000"/>
          <w:rtl/>
          <w:lang w:bidi="ar-AE"/>
        </w:rPr>
      </w:pPr>
      <w:r w:rsidRPr="001D50E9">
        <w:rPr>
          <w:rFonts w:ascii="Traditional Arabic" w:hAnsi="Traditional Arabic"/>
          <w:b/>
          <w:bCs/>
          <w:color w:val="000000"/>
          <w:rtl/>
          <w:lang w:bidi="ar-AE"/>
        </w:rPr>
        <w:t>ثانيا. أوروبا قبل النهضة</w:t>
      </w:r>
    </w:p>
    <w:p w:rsidR="00366B66" w:rsidRPr="001D50E9" w:rsidRDefault="00366B66" w:rsidP="00366B66">
      <w:pPr>
        <w:spacing w:before="120" w:after="120" w:line="360" w:lineRule="auto"/>
        <w:jc w:val="both"/>
        <w:rPr>
          <w:rFonts w:ascii="Traditional Arabic" w:hAnsi="Traditional Arabic"/>
          <w:color w:val="000000"/>
          <w:rtl/>
          <w:lang w:bidi="ar-AE"/>
        </w:rPr>
      </w:pPr>
      <w:r w:rsidRPr="001D50E9">
        <w:rPr>
          <w:rFonts w:ascii="Traditional Arabic" w:hAnsi="Traditional Arabic"/>
          <w:color w:val="000000"/>
          <w:rtl/>
          <w:lang w:bidi="ar-AE"/>
        </w:rPr>
        <w:lastRenderedPageBreak/>
        <w:t>اتجهت أوروبا في العصور الوسطى إلى الزهد في الدنيا، والتبتل إلى الآخرة، وذلك نتيجة هيمنة رجال الكنيسة على مختلف شؤون الحياة، باعتبارهم علماء في الدين وفلاسفة في القانون الروماني، فحاربوا المفكرين، وحاكموهم بقسوة، واحتكروا زعامة المجتمع، فتفشت فيه الخرافات وعم الجهل، فلم ينتفع الجمهور باللغة اللاتينية؛ لأنها كانت محتكرة لدى طائفة من رجال الكنيسة، وكان المجتمع الأوروبي متخلفاً ويئن تحت وطأة الإقطاع، ويعاني من ويلات الحروب الإقطاعية والتجزئة السياسية، ويرجع ذلك لعدة  أسباب منها  عدم وجود  الكتابة والطباعة ...</w:t>
      </w:r>
    </w:p>
    <w:p w:rsidR="00366B66" w:rsidRPr="001D50E9" w:rsidRDefault="00366B66" w:rsidP="00366B66">
      <w:pPr>
        <w:spacing w:before="120" w:after="120" w:line="360" w:lineRule="auto"/>
        <w:jc w:val="lowKashida"/>
        <w:rPr>
          <w:rFonts w:ascii="Traditional Arabic" w:hAnsi="Traditional Arabic"/>
          <w:color w:val="000000"/>
          <w:rtl/>
        </w:rPr>
      </w:pPr>
      <w:r w:rsidRPr="001D50E9">
        <w:rPr>
          <w:rFonts w:ascii="Traditional Arabic" w:hAnsi="Traditional Arabic"/>
          <w:color w:val="000000"/>
          <w:rtl/>
        </w:rPr>
        <w:t>اكتنفت حركة النهضة تيارات متنوعة، فهناك تيارات من العصر اليوناني الروماني القديم، وتيارات من العصر الوسيط، وتيارات حديثة منبثقة من واقع عصر النهضة نفسه وقد أثرت هذه التيارات بعضها في بعض، ونتج من تشابكها وامتز</w:t>
      </w:r>
      <w:r w:rsidR="00D30FBA">
        <w:rPr>
          <w:rFonts w:ascii="Traditional Arabic" w:hAnsi="Traditional Arabic" w:hint="cs"/>
          <w:color w:val="000000"/>
          <w:rtl/>
        </w:rPr>
        <w:t>ا</w:t>
      </w:r>
      <w:r w:rsidRPr="001D50E9">
        <w:rPr>
          <w:rFonts w:ascii="Traditional Arabic" w:hAnsi="Traditional Arabic"/>
          <w:color w:val="000000"/>
          <w:rtl/>
        </w:rPr>
        <w:t>جها وتفاعلها حضارة عصر النهضة.</w:t>
      </w:r>
    </w:p>
    <w:p w:rsidR="00366B66" w:rsidRPr="00EE0424" w:rsidRDefault="00366B66" w:rsidP="00366B66">
      <w:pPr>
        <w:spacing w:before="120" w:after="120" w:line="360" w:lineRule="auto"/>
        <w:ind w:firstLine="0"/>
        <w:jc w:val="both"/>
        <w:rPr>
          <w:rFonts w:ascii="Traditional Arabic" w:hAnsi="Traditional Arabic"/>
          <w:b/>
          <w:bCs/>
          <w:color w:val="000000"/>
          <w:u w:val="single"/>
          <w:rtl/>
        </w:rPr>
      </w:pPr>
      <w:r w:rsidRPr="00EE0424">
        <w:rPr>
          <w:rFonts w:ascii="Traditional Arabic" w:hAnsi="Traditional Arabic"/>
          <w:b/>
          <w:bCs/>
          <w:color w:val="000000"/>
          <w:u w:val="single"/>
          <w:rtl/>
        </w:rPr>
        <w:t>ثالثا. خصائص النهضة الأوربية:</w:t>
      </w:r>
    </w:p>
    <w:p w:rsidR="00366B66" w:rsidRPr="001D50E9" w:rsidRDefault="00366B66" w:rsidP="00366B66">
      <w:pPr>
        <w:spacing w:before="120" w:after="120" w:line="360" w:lineRule="auto"/>
        <w:jc w:val="lowKashida"/>
        <w:rPr>
          <w:rFonts w:ascii="Traditional Arabic" w:hAnsi="Traditional Arabic"/>
          <w:color w:val="000000"/>
          <w:rtl/>
        </w:rPr>
      </w:pPr>
      <w:r w:rsidRPr="001D50E9">
        <w:rPr>
          <w:rFonts w:ascii="Traditional Arabic" w:hAnsi="Traditional Arabic"/>
          <w:color w:val="000000"/>
          <w:rtl/>
        </w:rPr>
        <w:t>تميزت النهضة الأوربية بعدة خصائص منها:</w:t>
      </w:r>
    </w:p>
    <w:p w:rsidR="00366B66" w:rsidRPr="00EE0424" w:rsidRDefault="00366B66" w:rsidP="00366B66">
      <w:pPr>
        <w:spacing w:before="120" w:after="120" w:line="360" w:lineRule="auto"/>
        <w:jc w:val="lowKashida"/>
        <w:rPr>
          <w:rFonts w:ascii="Traditional Arabic" w:hAnsi="Traditional Arabic"/>
          <w:b/>
          <w:bCs/>
          <w:color w:val="000000"/>
          <w:u w:val="single"/>
          <w:rtl/>
        </w:rPr>
      </w:pPr>
      <w:r w:rsidRPr="00EE0424">
        <w:rPr>
          <w:rFonts w:ascii="Traditional Arabic" w:hAnsi="Traditional Arabic"/>
          <w:b/>
          <w:bCs/>
          <w:color w:val="000000"/>
          <w:u w:val="single"/>
          <w:rtl/>
        </w:rPr>
        <w:t xml:space="preserve">العلمانية: </w:t>
      </w:r>
    </w:p>
    <w:p w:rsidR="00366B66" w:rsidRPr="001D50E9" w:rsidRDefault="00366B66" w:rsidP="00366B66">
      <w:pPr>
        <w:spacing w:before="120" w:after="120" w:line="360" w:lineRule="auto"/>
        <w:jc w:val="lowKashida"/>
        <w:rPr>
          <w:rFonts w:ascii="Traditional Arabic" w:hAnsi="Traditional Arabic"/>
          <w:color w:val="000000"/>
          <w:rtl/>
        </w:rPr>
      </w:pPr>
      <w:r w:rsidRPr="001D50E9">
        <w:rPr>
          <w:rFonts w:ascii="Traditional Arabic" w:hAnsi="Traditional Arabic"/>
          <w:b/>
          <w:bCs/>
          <w:color w:val="000000"/>
          <w:rtl/>
        </w:rPr>
        <w:t>ظهور الأدباء والكتاب</w:t>
      </w:r>
      <w:r w:rsidRPr="001D50E9">
        <w:rPr>
          <w:rFonts w:ascii="Traditional Arabic" w:hAnsi="Traditional Arabic"/>
          <w:color w:val="000000"/>
          <w:rtl/>
        </w:rPr>
        <w:t xml:space="preserve"> </w:t>
      </w:r>
    </w:p>
    <w:p w:rsidR="00366B66" w:rsidRPr="001D50E9" w:rsidRDefault="00366B66" w:rsidP="00366B66">
      <w:pPr>
        <w:spacing w:before="120" w:after="120" w:line="360" w:lineRule="auto"/>
        <w:jc w:val="lowKashida"/>
        <w:rPr>
          <w:rFonts w:ascii="Traditional Arabic" w:hAnsi="Traditional Arabic"/>
          <w:b/>
          <w:bCs/>
          <w:color w:val="000000"/>
          <w:rtl/>
        </w:rPr>
      </w:pPr>
      <w:r w:rsidRPr="001D50E9">
        <w:rPr>
          <w:rFonts w:ascii="Traditional Arabic" w:hAnsi="Traditional Arabic"/>
          <w:b/>
          <w:bCs/>
          <w:color w:val="000000"/>
          <w:rtl/>
        </w:rPr>
        <w:t>ظهور المدن الحضارية:</w:t>
      </w:r>
    </w:p>
    <w:p w:rsidR="00366B66" w:rsidRPr="001D50E9" w:rsidRDefault="00366B66" w:rsidP="00366B66">
      <w:pPr>
        <w:spacing w:before="120" w:after="120" w:line="360" w:lineRule="auto"/>
        <w:jc w:val="lowKashida"/>
        <w:rPr>
          <w:rFonts w:ascii="Traditional Arabic" w:hAnsi="Traditional Arabic"/>
          <w:color w:val="000000"/>
          <w:rtl/>
        </w:rPr>
      </w:pPr>
      <w:r w:rsidRPr="001D50E9">
        <w:rPr>
          <w:rFonts w:ascii="Traditional Arabic" w:hAnsi="Traditional Arabic"/>
          <w:color w:val="000000"/>
          <w:rtl/>
        </w:rPr>
        <w:t xml:space="preserve"> </w:t>
      </w:r>
      <w:r w:rsidRPr="001D50E9">
        <w:rPr>
          <w:rFonts w:ascii="Traditional Arabic" w:hAnsi="Traditional Arabic"/>
          <w:b/>
          <w:bCs/>
          <w:color w:val="000000"/>
          <w:rtl/>
        </w:rPr>
        <w:t>الشخصية القوية للفرد الأوربي</w:t>
      </w:r>
      <w:r w:rsidRPr="001D50E9">
        <w:rPr>
          <w:rFonts w:ascii="Traditional Arabic" w:hAnsi="Traditional Arabic"/>
          <w:color w:val="000000"/>
          <w:rtl/>
        </w:rPr>
        <w:t>:</w:t>
      </w:r>
    </w:p>
    <w:p w:rsidR="00366B66" w:rsidRPr="001D50E9" w:rsidRDefault="00366B66" w:rsidP="00366B66">
      <w:pPr>
        <w:spacing w:before="120" w:after="120" w:line="360" w:lineRule="auto"/>
        <w:jc w:val="lowKashida"/>
        <w:rPr>
          <w:rFonts w:ascii="Traditional Arabic" w:hAnsi="Traditional Arabic"/>
          <w:b/>
          <w:bCs/>
          <w:color w:val="000000"/>
          <w:rtl/>
        </w:rPr>
      </w:pPr>
      <w:r w:rsidRPr="001D50E9">
        <w:rPr>
          <w:rFonts w:ascii="Traditional Arabic" w:hAnsi="Traditional Arabic"/>
          <w:color w:val="000000"/>
          <w:rtl/>
        </w:rPr>
        <w:t xml:space="preserve"> </w:t>
      </w:r>
      <w:r w:rsidRPr="001D50E9">
        <w:rPr>
          <w:rFonts w:ascii="Traditional Arabic" w:hAnsi="Traditional Arabic"/>
          <w:b/>
          <w:bCs/>
          <w:color w:val="000000"/>
          <w:rtl/>
        </w:rPr>
        <w:t xml:space="preserve">عدم ظهورها في كل أوربا: </w:t>
      </w:r>
    </w:p>
    <w:p w:rsidR="00366B66" w:rsidRPr="001D50E9" w:rsidRDefault="00366B66" w:rsidP="00366B66">
      <w:pPr>
        <w:spacing w:before="120" w:after="120" w:line="360" w:lineRule="auto"/>
        <w:jc w:val="lowKashida"/>
        <w:rPr>
          <w:rFonts w:ascii="Traditional Arabic" w:hAnsi="Traditional Arabic"/>
          <w:color w:val="000000"/>
          <w:rtl/>
        </w:rPr>
      </w:pPr>
      <w:r w:rsidRPr="001D50E9">
        <w:rPr>
          <w:rFonts w:ascii="Traditional Arabic" w:hAnsi="Traditional Arabic"/>
          <w:color w:val="000000"/>
          <w:rtl/>
        </w:rPr>
        <w:lastRenderedPageBreak/>
        <w:t>ومما لا شك فيه أن حركة النهضة قد ظهرت في إيطالية قبل غيرها من الأقطار الأوروبية، ويرجع ذلك لأسباب كثيرة، من بينها:</w:t>
      </w:r>
    </w:p>
    <w:p w:rsidR="00366B66" w:rsidRPr="009B761B" w:rsidRDefault="00366B66" w:rsidP="00366B66">
      <w:pPr>
        <w:spacing w:before="120" w:after="120" w:line="360" w:lineRule="auto"/>
        <w:jc w:val="lowKashida"/>
        <w:rPr>
          <w:rFonts w:ascii="Traditional Arabic" w:hAnsi="Traditional Arabic"/>
          <w:color w:val="000000"/>
          <w:u w:val="single"/>
          <w:rtl/>
        </w:rPr>
      </w:pPr>
      <w:r w:rsidRPr="009B761B">
        <w:rPr>
          <w:rFonts w:ascii="Traditional Arabic" w:hAnsi="Traditional Arabic"/>
          <w:b/>
          <w:bCs/>
          <w:color w:val="000000"/>
          <w:u w:val="single"/>
          <w:rtl/>
        </w:rPr>
        <w:t>أولا. الموقع الجغرافي</w:t>
      </w:r>
      <w:r w:rsidRPr="009B761B">
        <w:rPr>
          <w:rFonts w:ascii="Traditional Arabic" w:hAnsi="Traditional Arabic"/>
          <w:color w:val="000000"/>
          <w:u w:val="single"/>
          <w:rtl/>
        </w:rPr>
        <w:t>:</w:t>
      </w:r>
    </w:p>
    <w:p w:rsidR="00366B66" w:rsidRPr="001D50E9" w:rsidRDefault="00366B66" w:rsidP="00366B66">
      <w:pPr>
        <w:spacing w:before="120" w:after="120" w:line="360" w:lineRule="auto"/>
        <w:jc w:val="lowKashida"/>
        <w:rPr>
          <w:rFonts w:ascii="Traditional Arabic" w:hAnsi="Traditional Arabic"/>
          <w:color w:val="000000"/>
          <w:rtl/>
        </w:rPr>
      </w:pPr>
      <w:r w:rsidRPr="001D50E9">
        <w:rPr>
          <w:rFonts w:ascii="Traditional Arabic" w:hAnsi="Traditional Arabic"/>
          <w:color w:val="000000"/>
          <w:rtl/>
        </w:rPr>
        <w:t>اكتسبت شبه الجزيرة الإيطالية أهمية كبرى بسبب موقعها الجغرافي الفريد بالنسبة للبحر المتوسط، في وقت كان فيه هذا البحر مركز للتجارة العالمية، ومركز الاحتكاك الفكري بين الشرق والغرب.</w:t>
      </w:r>
    </w:p>
    <w:p w:rsidR="00686E30" w:rsidRPr="001D50E9" w:rsidRDefault="00686E30">
      <w:pPr>
        <w:rPr>
          <w:rFonts w:ascii="Traditional Arabic" w:hAnsi="Traditional Arabic"/>
        </w:rPr>
      </w:pPr>
    </w:p>
    <w:sectPr w:rsidR="00686E30" w:rsidRPr="001D50E9" w:rsidSect="00E84B12">
      <w:headerReference w:type="default" r:id="rId7"/>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95A" w:rsidRDefault="0091595A" w:rsidP="006E017C">
      <w:r>
        <w:separator/>
      </w:r>
    </w:p>
  </w:endnote>
  <w:endnote w:type="continuationSeparator" w:id="0">
    <w:p w:rsidR="0091595A" w:rsidRDefault="0091595A" w:rsidP="006E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95A" w:rsidRDefault="0091595A" w:rsidP="006E017C">
      <w:r>
        <w:separator/>
      </w:r>
    </w:p>
  </w:footnote>
  <w:footnote w:type="continuationSeparator" w:id="0">
    <w:p w:rsidR="0091595A" w:rsidRDefault="0091595A" w:rsidP="006E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sz w:val="32"/>
        <w:szCs w:val="32"/>
        <w:rtl/>
      </w:rPr>
      <w:alias w:val="Titre"/>
      <w:id w:val="77738743"/>
      <w:placeholder>
        <w:docPart w:val="EB4DF55851254D1D95CB9F8A98FF0295"/>
      </w:placeholder>
      <w:dataBinding w:prefixMappings="xmlns:ns0='http://schemas.openxmlformats.org/package/2006/metadata/core-properties' xmlns:ns1='http://purl.org/dc/elements/1.1/'" w:xpath="/ns0:coreProperties[1]/ns1:title[1]" w:storeItemID="{6C3C8BC8-F283-45AE-878A-BAB7291924A1}"/>
      <w:text/>
    </w:sdtPr>
    <w:sdtEndPr/>
    <w:sdtContent>
      <w:p w:rsidR="006E017C" w:rsidRPr="006E017C" w:rsidRDefault="006E017C" w:rsidP="00E84B12">
        <w:pPr>
          <w:pStyle w:val="En-tte"/>
          <w:pBdr>
            <w:bottom w:val="thickThinSmallGap" w:sz="24" w:space="1" w:color="622423" w:themeColor="accent2" w:themeShade="7F"/>
          </w:pBdr>
          <w:ind w:firstLine="0"/>
          <w:rPr>
            <w:rFonts w:ascii="Andalus" w:eastAsiaTheme="majorEastAsia" w:hAnsi="Andalus" w:cs="Andalus"/>
            <w:sz w:val="32"/>
            <w:szCs w:val="32"/>
            <w:lang w:val="fr-FR"/>
          </w:rPr>
        </w:pPr>
        <w:r w:rsidRPr="006E017C">
          <w:rPr>
            <w:rFonts w:ascii="Andalus" w:eastAsiaTheme="majorEastAsia" w:hAnsi="Andalus" w:cs="Andalus"/>
            <w:sz w:val="32"/>
            <w:szCs w:val="32"/>
            <w:rtl/>
          </w:rPr>
          <w:t>محاضرات مقياس</w:t>
        </w:r>
        <w:r w:rsidR="00E84B12">
          <w:rPr>
            <w:rFonts w:ascii="Andalus" w:eastAsiaTheme="majorEastAsia" w:hAnsi="Andalus" w:cs="Andalus" w:hint="cs"/>
            <w:sz w:val="32"/>
            <w:szCs w:val="32"/>
            <w:rtl/>
          </w:rPr>
          <w:t>:</w:t>
        </w:r>
        <w:r w:rsidRPr="006E017C">
          <w:rPr>
            <w:rFonts w:ascii="Andalus" w:eastAsiaTheme="majorEastAsia" w:hAnsi="Andalus" w:cs="Andalus"/>
            <w:sz w:val="32"/>
            <w:szCs w:val="32"/>
            <w:rtl/>
          </w:rPr>
          <w:t xml:space="preserve"> تاريخ الحضارة الإنسانية                                 </w:t>
        </w:r>
        <w:r>
          <w:rPr>
            <w:rFonts w:ascii="Andalus" w:eastAsiaTheme="majorEastAsia" w:hAnsi="Andalus" w:cs="Andalus" w:hint="cs"/>
            <w:sz w:val="32"/>
            <w:szCs w:val="32"/>
            <w:rtl/>
          </w:rPr>
          <w:t xml:space="preserve">      </w:t>
        </w:r>
        <w:r w:rsidR="00E84B12">
          <w:rPr>
            <w:rFonts w:ascii="Andalus" w:eastAsiaTheme="majorEastAsia" w:hAnsi="Andalus" w:cs="Andalus" w:hint="cs"/>
            <w:sz w:val="32"/>
            <w:szCs w:val="32"/>
            <w:rtl/>
          </w:rPr>
          <w:t xml:space="preserve">           </w:t>
        </w:r>
        <w:r>
          <w:rPr>
            <w:rFonts w:ascii="Andalus" w:eastAsiaTheme="majorEastAsia" w:hAnsi="Andalus" w:cs="Andalus" w:hint="cs"/>
            <w:sz w:val="32"/>
            <w:szCs w:val="32"/>
            <w:rtl/>
          </w:rPr>
          <w:t xml:space="preserve"> </w:t>
        </w:r>
        <w:r w:rsidR="00E84B12">
          <w:rPr>
            <w:rFonts w:ascii="Andalus" w:eastAsiaTheme="majorEastAsia" w:hAnsi="Andalus" w:cs="Andalus" w:hint="cs"/>
            <w:sz w:val="32"/>
            <w:szCs w:val="32"/>
            <w:rtl/>
          </w:rPr>
          <w:t>الدكتور</w:t>
        </w:r>
        <w:r w:rsidRPr="006E017C">
          <w:rPr>
            <w:rFonts w:ascii="Andalus" w:eastAsiaTheme="majorEastAsia" w:hAnsi="Andalus" w:cs="Andalus"/>
            <w:sz w:val="32"/>
            <w:szCs w:val="32"/>
            <w:rtl/>
          </w:rPr>
          <w:t xml:space="preserve"> : باسم </w:t>
        </w:r>
        <w:proofErr w:type="spellStart"/>
        <w:r w:rsidRPr="006E017C">
          <w:rPr>
            <w:rFonts w:ascii="Andalus" w:eastAsiaTheme="majorEastAsia" w:hAnsi="Andalus" w:cs="Andalus"/>
            <w:sz w:val="32"/>
            <w:szCs w:val="32"/>
            <w:rtl/>
          </w:rPr>
          <w:t>بسطال</w:t>
        </w:r>
        <w:proofErr w:type="spellEnd"/>
      </w:p>
    </w:sdtContent>
  </w:sdt>
  <w:p w:rsidR="006E017C" w:rsidRPr="006E017C" w:rsidRDefault="006E017C">
    <w:pPr>
      <w:pStyle w:val="En-tte"/>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66"/>
    <w:rsid w:val="000D044C"/>
    <w:rsid w:val="001D50E9"/>
    <w:rsid w:val="00366B66"/>
    <w:rsid w:val="0037486E"/>
    <w:rsid w:val="00686E30"/>
    <w:rsid w:val="006E017C"/>
    <w:rsid w:val="006E039E"/>
    <w:rsid w:val="00716AE7"/>
    <w:rsid w:val="0091595A"/>
    <w:rsid w:val="009B761B"/>
    <w:rsid w:val="00C62308"/>
    <w:rsid w:val="00D220A0"/>
    <w:rsid w:val="00D30FBA"/>
    <w:rsid w:val="00E844DA"/>
    <w:rsid w:val="00E84B12"/>
    <w:rsid w:val="00EE04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2B17B5-4A87-4E2B-853A-8D57CC45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B66"/>
    <w:pPr>
      <w:bidi/>
      <w:spacing w:after="0" w:line="240" w:lineRule="auto"/>
      <w:ind w:firstLine="567"/>
    </w:pPr>
    <w:rPr>
      <w:rFonts w:ascii="Times New Roman" w:eastAsia="Times New Roman" w:hAnsi="Times New Roman" w:cs="Traditional Arabic"/>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017C"/>
    <w:pPr>
      <w:tabs>
        <w:tab w:val="center" w:pos="4536"/>
        <w:tab w:val="right" w:pos="9072"/>
      </w:tabs>
    </w:pPr>
  </w:style>
  <w:style w:type="character" w:customStyle="1" w:styleId="En-tteCar">
    <w:name w:val="En-tête Car"/>
    <w:basedOn w:val="Policepardfaut"/>
    <w:link w:val="En-tte"/>
    <w:uiPriority w:val="99"/>
    <w:rsid w:val="006E017C"/>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6E017C"/>
    <w:pPr>
      <w:tabs>
        <w:tab w:val="center" w:pos="4536"/>
        <w:tab w:val="right" w:pos="9072"/>
      </w:tabs>
    </w:pPr>
  </w:style>
  <w:style w:type="character" w:customStyle="1" w:styleId="PieddepageCar">
    <w:name w:val="Pied de page Car"/>
    <w:basedOn w:val="Policepardfaut"/>
    <w:link w:val="Pieddepage"/>
    <w:uiPriority w:val="99"/>
    <w:semiHidden/>
    <w:rsid w:val="006E017C"/>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6E017C"/>
    <w:rPr>
      <w:rFonts w:ascii="Tahoma" w:hAnsi="Tahoma" w:cs="Tahoma"/>
      <w:sz w:val="16"/>
      <w:szCs w:val="16"/>
    </w:rPr>
  </w:style>
  <w:style w:type="character" w:customStyle="1" w:styleId="TextedebullesCar">
    <w:name w:val="Texte de bulles Car"/>
    <w:basedOn w:val="Policepardfaut"/>
    <w:link w:val="Textedebulles"/>
    <w:uiPriority w:val="99"/>
    <w:semiHidden/>
    <w:rsid w:val="006E017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4DF55851254D1D95CB9F8A98FF0295"/>
        <w:category>
          <w:name w:val="Général"/>
          <w:gallery w:val="placeholder"/>
        </w:category>
        <w:types>
          <w:type w:val="bbPlcHdr"/>
        </w:types>
        <w:behaviors>
          <w:behavior w:val="content"/>
        </w:behaviors>
        <w:guid w:val="{CE92A1C3-E334-4E37-846C-25160BD8A836}"/>
      </w:docPartPr>
      <w:docPartBody>
        <w:p w:rsidR="00906725" w:rsidRDefault="00DE199A" w:rsidP="00DE199A">
          <w:pPr>
            <w:pStyle w:val="EB4DF55851254D1D95CB9F8A98FF029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E199A"/>
    <w:rsid w:val="00305396"/>
    <w:rsid w:val="00906725"/>
    <w:rsid w:val="00DE19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7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4DF55851254D1D95CB9F8A98FF0295">
    <w:name w:val="EB4DF55851254D1D95CB9F8A98FF0295"/>
    <w:rsid w:val="00DE1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C69E-7222-43F3-8058-2AADCF9B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 باسم بسطال</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 باسم بسطال</dc:title>
  <dc:creator>lonovo</dc:creator>
  <cp:lastModifiedBy>SABER BSA</cp:lastModifiedBy>
  <cp:revision>2</cp:revision>
  <dcterms:created xsi:type="dcterms:W3CDTF">2021-05-14T10:07:00Z</dcterms:created>
  <dcterms:modified xsi:type="dcterms:W3CDTF">2021-05-14T10:07:00Z</dcterms:modified>
</cp:coreProperties>
</file>