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87878"/>
          <w:sz w:val="32"/>
          <w:szCs w:val="32"/>
        </w:rPr>
      </w:pPr>
      <w:r w:rsidRPr="00C71E81">
        <w:rPr>
          <w:rFonts w:asciiTheme="majorBidi" w:hAnsiTheme="majorBidi" w:cstheme="majorBidi"/>
          <w:b/>
          <w:bCs/>
          <w:color w:val="787878"/>
          <w:sz w:val="32"/>
          <w:szCs w:val="32"/>
        </w:rPr>
        <w:t>CONSERVATION</w:t>
      </w: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787878"/>
          <w:sz w:val="24"/>
          <w:szCs w:val="24"/>
        </w:rPr>
      </w:pPr>
    </w:p>
    <w:p w:rsidR="00C71E81" w:rsidRPr="003B295D" w:rsidRDefault="00C71E81" w:rsidP="00C71E8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3B295D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Tableau 1: </w:t>
      </w:r>
      <w:r w:rsidRPr="003B295D">
        <w:rPr>
          <w:rFonts w:asciiTheme="majorBidi" w:hAnsiTheme="majorBidi" w:cstheme="majorBidi"/>
          <w:color w:val="000000"/>
          <w:sz w:val="28"/>
          <w:szCs w:val="28"/>
        </w:rPr>
        <w:t xml:space="preserve">Usage actuel </w:t>
      </w:r>
      <w:r w:rsidR="007007B0" w:rsidRPr="003B295D">
        <w:rPr>
          <w:rFonts w:asciiTheme="majorBidi" w:hAnsiTheme="majorBidi" w:cstheme="majorBidi"/>
          <w:color w:val="000000"/>
          <w:sz w:val="28"/>
          <w:szCs w:val="28"/>
        </w:rPr>
        <w:t>des ressources génétiques animales</w:t>
      </w:r>
      <w:r w:rsidRPr="003B295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787878"/>
          <w:sz w:val="24"/>
          <w:szCs w:val="24"/>
        </w:rPr>
      </w:pPr>
      <w:r w:rsidRPr="00C71E81">
        <w:rPr>
          <w:rFonts w:ascii="Times-Bold" w:hAnsi="Times-Bold" w:cs="Times-Bold"/>
          <w:b/>
          <w:bCs/>
          <w:color w:val="787878"/>
          <w:sz w:val="24"/>
          <w:szCs w:val="24"/>
        </w:rPr>
        <w:drawing>
          <wp:inline distT="0" distB="0" distL="0" distR="0">
            <wp:extent cx="5136515" cy="2409190"/>
            <wp:effectExtent l="19050" t="0" r="69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787878"/>
          <w:sz w:val="24"/>
          <w:szCs w:val="24"/>
        </w:rPr>
      </w:pP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787878"/>
          <w:sz w:val="24"/>
          <w:szCs w:val="24"/>
        </w:rPr>
      </w:pP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87878"/>
          <w:sz w:val="32"/>
          <w:szCs w:val="32"/>
        </w:rPr>
      </w:pPr>
      <w:r w:rsidRPr="00C71E81">
        <w:rPr>
          <w:rFonts w:asciiTheme="majorBidi" w:hAnsiTheme="majorBidi" w:cstheme="majorBidi"/>
          <w:b/>
          <w:bCs/>
          <w:color w:val="787878"/>
          <w:sz w:val="32"/>
          <w:szCs w:val="32"/>
        </w:rPr>
        <w:t>1 CONSERVATION IN-SITU</w:t>
      </w: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La conservation in-situ se fait avec plus ou moins de succès et pour des raisons bien différentes dans les exploitations privées pour la </w:t>
      </w:r>
      <w:proofErr w:type="spellStart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Ouled</w:t>
      </w:r>
      <w:proofErr w:type="spellEnd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-</w:t>
      </w:r>
      <w:proofErr w:type="spellStart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djellal</w:t>
      </w:r>
      <w:proofErr w:type="spellEnd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et la </w:t>
      </w:r>
      <w:proofErr w:type="spellStart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Rembi</w:t>
      </w:r>
      <w:proofErr w:type="spellEnd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chez l’ovin, la </w:t>
      </w:r>
      <w:proofErr w:type="spellStart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Arabia</w:t>
      </w:r>
      <w:proofErr w:type="spellEnd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>chez le caprin, certains rameaux et souches respectivement pour le bovin, le camelin et la poule.</w:t>
      </w:r>
    </w:p>
    <w:p w:rsidR="00C71E81" w:rsidRPr="00C71E81" w:rsidRDefault="00C71E81" w:rsidP="003B295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>Le reste, qui d’ailleurs demeure mal connu, a déjà vécu et continue de vivre les différentes</w:t>
      </w:r>
      <w:r w:rsidR="003B295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>formes de menaces, jusqu’aux plus extrêmes :</w:t>
      </w:r>
    </w:p>
    <w:p w:rsidR="00C71E81" w:rsidRPr="00C71E81" w:rsidRDefault="00C71E81" w:rsidP="00C71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Croisements anarchiques : cas de la </w:t>
      </w:r>
      <w:proofErr w:type="spellStart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>Makatia</w:t>
      </w:r>
      <w:proofErr w:type="spellEnd"/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(caprin) et des différents types </w:t>
      </w:r>
      <w:proofErr w:type="spellStart"/>
      <w:r w:rsidRPr="00C71E81">
        <w:rPr>
          <w:rFonts w:asciiTheme="majorBidi" w:hAnsiTheme="majorBidi" w:cstheme="majorBidi"/>
          <w:color w:val="000000"/>
          <w:sz w:val="28"/>
          <w:szCs w:val="28"/>
        </w:rPr>
        <w:t>dubovin</w:t>
      </w:r>
      <w:proofErr w:type="spellEnd"/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 local</w:t>
      </w:r>
    </w:p>
    <w:p w:rsidR="00C71E81" w:rsidRPr="00C71E81" w:rsidRDefault="00C71E81" w:rsidP="00C71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Réduction des effectifs : cas de la </w:t>
      </w:r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Hamra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>(ovin), certains types de bovins</w:t>
      </w:r>
    </w:p>
    <w:p w:rsidR="00C71E81" w:rsidRPr="00C71E81" w:rsidRDefault="00C71E81" w:rsidP="00C71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>Disparition de types : cas des souches des espèces de basse-cour.</w:t>
      </w: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71E81" w:rsidRPr="00C71E81" w:rsidRDefault="00C71E81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>Dans ce cas précis (volaille et lapin), très peu d’information</w:t>
      </w:r>
      <w:r w:rsidR="003B295D">
        <w:rPr>
          <w:rFonts w:asciiTheme="majorBidi" w:hAnsiTheme="majorBidi" w:cstheme="majorBidi"/>
          <w:color w:val="000000"/>
          <w:sz w:val="28"/>
          <w:szCs w:val="28"/>
        </w:rPr>
        <w:t xml:space="preserve">s existent. </w:t>
      </w:r>
      <w:r w:rsidR="003B295D" w:rsidRPr="00C71E81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>lles soulignent la perte de larges parts de la diversité génétique sans pour autant renseigner de manière détaillée sur la composition du réservoir génétique actuel, Il y a lieu de signaler que très peu d’animaux sont concernés par la conservation in-situ dans les organismes publics, (types et effectifs).</w:t>
      </w:r>
    </w:p>
    <w:p w:rsidR="00C71E81" w:rsidRDefault="00C71E81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>l’ITELV, à travers son programme de conservation, a constitué un troupeau ovin de race</w:t>
      </w:r>
      <w:r w:rsidR="00263CF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71E81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Hamra </w:t>
      </w:r>
      <w:r w:rsidRPr="00C71E81">
        <w:rPr>
          <w:rFonts w:asciiTheme="majorBidi" w:hAnsiTheme="majorBidi" w:cstheme="majorBidi"/>
          <w:color w:val="000000"/>
          <w:sz w:val="28"/>
          <w:szCs w:val="28"/>
        </w:rPr>
        <w:t>et vise à étendre cette action à d’autres races.</w:t>
      </w: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71E81" w:rsidRPr="00263CFE" w:rsidRDefault="00C71E81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32"/>
          <w:szCs w:val="32"/>
        </w:rPr>
      </w:pPr>
      <w:r w:rsidRPr="00C71E81">
        <w:rPr>
          <w:rFonts w:asciiTheme="majorBidi" w:hAnsiTheme="majorBidi" w:cstheme="majorBidi"/>
          <w:b/>
          <w:bCs/>
          <w:color w:val="787878"/>
          <w:sz w:val="32"/>
          <w:szCs w:val="32"/>
        </w:rPr>
        <w:t>2- CONSERVATION EX-SITU</w:t>
      </w: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A ce jour, un très faible échantillon de la diversité génétique est conservé en ex-situ au niveau du CNIAAG. Les besoins en conservation ex-situ en </w:t>
      </w:r>
      <w:proofErr w:type="gramStart"/>
      <w:r w:rsidRPr="00C71E81">
        <w:rPr>
          <w:rFonts w:asciiTheme="majorBidi" w:hAnsiTheme="majorBidi" w:cstheme="majorBidi"/>
          <w:color w:val="000000"/>
          <w:sz w:val="28"/>
          <w:szCs w:val="28"/>
        </w:rPr>
        <w:t>terme</w:t>
      </w:r>
      <w:proofErr w:type="gramEnd"/>
      <w:r w:rsidRPr="00C71E81">
        <w:rPr>
          <w:rFonts w:asciiTheme="majorBidi" w:hAnsiTheme="majorBidi" w:cstheme="majorBidi"/>
          <w:color w:val="000000"/>
          <w:sz w:val="28"/>
          <w:szCs w:val="28"/>
        </w:rPr>
        <w:t xml:space="preserve"> de types génétiques et d’effectifs à maintenir ne sont pas identifiés, les actions actuellement menées ne peuvent être objectivement évaluées.</w:t>
      </w:r>
    </w:p>
    <w:p w:rsid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color w:val="000000"/>
          <w:sz w:val="28"/>
          <w:szCs w:val="28"/>
        </w:rPr>
      </w:pPr>
      <w:r w:rsidRPr="00C71E81">
        <w:rPr>
          <w:rFonts w:ascii="Times-Roman" w:hAnsi="Times-Roman" w:cs="Times-Roman"/>
          <w:color w:val="000000"/>
          <w:sz w:val="28"/>
          <w:szCs w:val="28"/>
        </w:rPr>
        <w:t>Le tableau 2 rapporte les quelques opérations de préservation entreprises soit par des éleveurs isolés soit par des institutions d’élevage.</w:t>
      </w:r>
    </w:p>
    <w:p w:rsidR="00C71E81" w:rsidRPr="00C71E81" w:rsidRDefault="00C71E81" w:rsidP="00C71E8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C71E81" w:rsidRDefault="00C71E81" w:rsidP="00C71E81">
      <w:pPr>
        <w:jc w:val="center"/>
      </w:pPr>
    </w:p>
    <w:p w:rsidR="007007B0" w:rsidRPr="00263CFE" w:rsidRDefault="00C71E81" w:rsidP="00263CFE">
      <w:pPr>
        <w:jc w:val="center"/>
      </w:pPr>
      <w:r>
        <w:rPr>
          <w:noProof/>
        </w:rPr>
        <w:drawing>
          <wp:inline distT="0" distB="0" distL="0" distR="0">
            <wp:extent cx="5136515" cy="5184140"/>
            <wp:effectExtent l="19050" t="0" r="698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518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35" w:rsidRPr="007007B0" w:rsidRDefault="00D46E35" w:rsidP="00D46E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787878"/>
          <w:sz w:val="32"/>
          <w:szCs w:val="32"/>
        </w:rPr>
      </w:pPr>
      <w:r w:rsidRPr="007007B0">
        <w:rPr>
          <w:rFonts w:asciiTheme="majorBidi" w:hAnsiTheme="majorBidi" w:cstheme="majorBidi"/>
          <w:b/>
          <w:bCs/>
          <w:color w:val="787878"/>
          <w:sz w:val="32"/>
          <w:szCs w:val="32"/>
        </w:rPr>
        <w:t>3- AMELIORATION GENETIQUE</w:t>
      </w:r>
    </w:p>
    <w:p w:rsidR="007007B0" w:rsidRDefault="007007B0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Les dispositions prises dans le cadre du PNDA pour la protection et le développement du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patrimoine génétique animal sont une réelle avancée mais restent insuffisantes ; elles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concernent les actions suivantes :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soutien à l’insémination artificielle et production de reproducteurs bovins (vache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laitière),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création de pépinières de production d’essaims et de reines,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production de poulains et pouliches de races pures,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production de chamelons femelles,</w:t>
      </w:r>
    </w:p>
    <w:p w:rsidR="007007B0" w:rsidRPr="00263CFE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toute opération d’amélioration génétique de l’espèce ovine et caprine.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lastRenderedPageBreak/>
        <w:t>3-1- .Les croisements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􀂙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Bovin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Quelques essais d’amélioration par croise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>ment ont été menés en station (</w:t>
      </w:r>
      <w:proofErr w:type="spellStart"/>
      <w:r w:rsidRPr="007007B0">
        <w:rPr>
          <w:rFonts w:asciiTheme="majorBidi" w:hAnsiTheme="majorBidi" w:cstheme="majorBidi"/>
          <w:color w:val="000000"/>
          <w:sz w:val="28"/>
          <w:szCs w:val="28"/>
        </w:rPr>
        <w:t>Fetzara</w:t>
      </w:r>
      <w:proofErr w:type="spellEnd"/>
      <w:r w:rsidRPr="007007B0">
        <w:rPr>
          <w:rFonts w:asciiTheme="majorBidi" w:hAnsiTheme="majorBidi" w:cstheme="majorBidi"/>
          <w:color w:val="000000"/>
          <w:sz w:val="28"/>
          <w:szCs w:val="28"/>
        </w:rPr>
        <w:t>, Baba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Ali) durant les années quatre vingt mais ceux sont arrêtés à la F1. Ces essais avaient pour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objectif de définir le type de croisement à développer, et ont été effectués dans deux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directions :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Croisement lait - viande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Croisement viande</w:t>
      </w:r>
    </w:p>
    <w:p w:rsidR="00D46E35" w:rsidRPr="007007B0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Pour le lait – viande, il a été fait appel à du sang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Holstein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, Pie rouge, Tarentaise et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Montbéliarde. Le but étant de bénéficier des aptitudes laitières de ces races, la viande étant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considérée comme sous produit du lait.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Concernant le croisement viande, il a été fait appel à du sang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Hereford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Charolais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Blonde</w:t>
      </w:r>
      <w:r w:rsid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d’Aquitaine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Limousin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et </w:t>
      </w:r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Santa </w:t>
      </w:r>
      <w:proofErr w:type="spellStart"/>
      <w:r w:rsidRPr="007007B0">
        <w:rPr>
          <w:rFonts w:asciiTheme="majorBidi" w:hAnsiTheme="majorBidi" w:cstheme="majorBidi"/>
          <w:i/>
          <w:iCs/>
          <w:color w:val="000000"/>
          <w:sz w:val="28"/>
          <w:szCs w:val="28"/>
        </w:rPr>
        <w:t>Gertrudis</w:t>
      </w:r>
      <w:proofErr w:type="spellEnd"/>
      <w:r w:rsidRPr="007007B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􀂙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Caprin</w:t>
      </w:r>
    </w:p>
    <w:p w:rsidR="00D46E35" w:rsidRPr="007007B0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Les croisements avec du matériel exotique ont touché le caprin aussi, surtout celui des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régions d’implantation des centres, instituts et fermes pilotes, qui ont introduit en de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nombreuses occasions du caprin laitier exotique. Comme pour le bovin, l’on retrouve des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zones où il y a eu des croisements systématiques  mais à la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différence que ce sont les éleveurs eux-mêmes qui ont recherché 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les animaux à haut potentiel pour améliorer les performances laitières de la chèvre locale.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Les troupeaux caprins de certaines régions ne peuvent plus être considérés comme locaux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puisque fortement métissés à tel point que les gènes à effets visibles introduits (Alpine et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Saanen surtout) sont très répandus.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􀂙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Autres espèces</w:t>
      </w:r>
    </w:p>
    <w:p w:rsidR="00D46E35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L’amélioration génétique par les croisements avec le matériel exotique a même touché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l’ovin reconnu pourtant avoir de bonnes aptitudes. C’est ainsi que de nombreuses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tentatives ont eu lieu et pour différents objectifs de production : viande, lait et laine. Elles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n’ont généralement pas eu de suite en raison du refus des éleveurs à adopter des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phénotypes jugés "mauvais " par rapport à ceux des ovins locaux.</w:t>
      </w:r>
    </w:p>
    <w:p w:rsidR="00263CFE" w:rsidRPr="007007B0" w:rsidRDefault="00263CFE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3-2- La sélection en race pure</w:t>
      </w:r>
    </w:p>
    <w:p w:rsidR="00263CFE" w:rsidRDefault="00263CFE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Deux principaux modèle de sélection en “race pure” peuvent être rapportés : celui imposé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par le contexte socio-économique des éleveurs et celui qui résulte de leur choix délibéré :</w:t>
      </w:r>
    </w:p>
    <w:p w:rsidR="00D46E35" w:rsidRPr="007007B0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La sélection en race pure dans les élevages de subsistance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63CFE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La sélection en race pure d’élevages pépinières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263CFE" w:rsidRDefault="00263CFE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63CFE" w:rsidRDefault="00263CFE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63CFE" w:rsidRDefault="00263CFE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63CFE" w:rsidRDefault="00263CFE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263CF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lastRenderedPageBreak/>
        <w:t>4- PRINCIPALES CONTRAINTES A L’UTILISATION DES RESSOURCES</w:t>
      </w:r>
      <w:r w:rsid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GENETIQUES ANIMALES</w:t>
      </w:r>
    </w:p>
    <w:p w:rsidR="00263CFE" w:rsidRDefault="00263CFE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L’un des aspects qui limitent le maintien de la biodiversité et de la variabilité génétique est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la régression, voire la disparition des races animales. Les raisons sont multiples et trop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souvent seul le court terme est pris en considération par les éleveurs. Parmi les principales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contraintes, nous citerons notamment:</w:t>
      </w:r>
    </w:p>
    <w:p w:rsidR="00F932A4" w:rsidRDefault="00F932A4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787878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Matériel génétique de base certifié non disponible pour la diversification des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productions animales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Références techniques locales limitées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Absence d’un programme global de conservation (objectifs, types génétiques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concernés, voies et moyens de conservation)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Caractérisation incomplète ou insuffisante des différents types génétiques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(description, effectifs, répartition, systèmes de production, environnement socioéconomiques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et physique) pour bien raisonner la conservation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Faible coordination entre les acteurs et les secteurs (recherche, production, …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Mesures incitatives limitées pour la conservation in-situ par les éleveurs (aide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technique, économique et organisationnelle)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Cadre juridique et législatif limité ;</w:t>
      </w: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787878"/>
          <w:sz w:val="28"/>
          <w:szCs w:val="28"/>
        </w:rPr>
        <w:t xml:space="preserve">•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Absence d’une stratégie d’intégration</w:t>
      </w:r>
      <w:r w:rsidR="00CD397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des ressources génétiques locales dans le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développement des productions animales dans le souci de satisfaire les besoins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croissants de la population.</w:t>
      </w:r>
    </w:p>
    <w:p w:rsidR="007007B0" w:rsidRDefault="007007B0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>5- PROPOSITIONS D’INTERVENTION</w:t>
      </w:r>
    </w:p>
    <w:p w:rsidR="007007B0" w:rsidRDefault="007007B0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46E35" w:rsidRPr="007007B0" w:rsidRDefault="00D46E35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Les tâches d’ordre technique peuvent se résumer en deux catégories selon les types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d’interventions prioritaires, en rapport avec l’état actuel des races ou des populations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existantes :</w:t>
      </w:r>
    </w:p>
    <w:p w:rsidR="00D46E35" w:rsidRPr="007007B0" w:rsidRDefault="00D46E35" w:rsidP="00CD3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a-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Dans les populations à petits effectifs ou celles menacées de disparition, il est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recommandé de développer ces races et de les intégrer dans l’économie nationale</w:t>
      </w:r>
    </w:p>
    <w:p w:rsidR="00D46E35" w:rsidRPr="007007B0" w:rsidRDefault="00D46E35" w:rsidP="00CD3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t>Il est aussi recommandé de chercher des débouchés économiques viables pour ces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populations.</w:t>
      </w:r>
    </w:p>
    <w:p w:rsidR="00D46E35" w:rsidRDefault="00D46E35" w:rsidP="00CD3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b-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Dans les populations et races en activité économique, disposant d’effectifs stables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ou en progression telles que la population bovine locale, les races bovines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introduites et quelques populations ovines locales, il est recommandé de développer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des plans d’organisation de leurs élevages avec notamment des plans</w:t>
      </w:r>
      <w:r w:rsidR="007007B0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d’amélioration génétique spécifiques à chaque race ou population.</w:t>
      </w:r>
    </w:p>
    <w:p w:rsidR="00CD397B" w:rsidRDefault="00CD397B" w:rsidP="00CD3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D397B" w:rsidRPr="007007B0" w:rsidRDefault="00CD397B" w:rsidP="00CD3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46E35" w:rsidRPr="007007B0" w:rsidRDefault="00D46E35" w:rsidP="007007B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46E35" w:rsidRPr="007007B0" w:rsidRDefault="00D46E35" w:rsidP="007007B0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8B8B8B"/>
          <w:sz w:val="28"/>
          <w:szCs w:val="28"/>
        </w:rPr>
        <w:lastRenderedPageBreak/>
        <w:t xml:space="preserve">Tableau 3 :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Nombre de races pour lesquelles la caractérisation a été faite</w:t>
      </w:r>
    </w:p>
    <w:p w:rsidR="00D46E35" w:rsidRPr="007007B0" w:rsidRDefault="00D46E35" w:rsidP="007007B0">
      <w:pPr>
        <w:jc w:val="both"/>
        <w:rPr>
          <w:rFonts w:asciiTheme="majorBidi" w:hAnsiTheme="majorBidi" w:cstheme="majorBidi"/>
          <w:b/>
          <w:bCs/>
          <w:color w:val="8B8B8B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noProof/>
          <w:color w:val="8B8B8B"/>
          <w:sz w:val="28"/>
          <w:szCs w:val="28"/>
        </w:rPr>
        <w:drawing>
          <wp:inline distT="0" distB="0" distL="0" distR="0">
            <wp:extent cx="5760720" cy="2154286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35" w:rsidRPr="007007B0" w:rsidRDefault="007007B0" w:rsidP="007007B0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color w:val="8B8B8B"/>
          <w:sz w:val="28"/>
          <w:szCs w:val="28"/>
        </w:rPr>
        <w:t xml:space="preserve">Tableau </w:t>
      </w:r>
      <w:r>
        <w:rPr>
          <w:rFonts w:asciiTheme="majorBidi" w:hAnsiTheme="majorBidi" w:cstheme="majorBidi"/>
          <w:b/>
          <w:bCs/>
          <w:color w:val="8B8B8B"/>
          <w:sz w:val="28"/>
          <w:szCs w:val="28"/>
        </w:rPr>
        <w:t>4</w:t>
      </w:r>
      <w:r w:rsidRPr="007007B0">
        <w:rPr>
          <w:rFonts w:asciiTheme="majorBidi" w:hAnsiTheme="majorBidi" w:cstheme="majorBidi"/>
          <w:b/>
          <w:bCs/>
          <w:color w:val="8B8B8B"/>
          <w:sz w:val="28"/>
          <w:szCs w:val="28"/>
        </w:rPr>
        <w:t xml:space="preserve"> : </w:t>
      </w:r>
      <w:r w:rsidR="00D46E35" w:rsidRPr="007007B0">
        <w:rPr>
          <w:rFonts w:asciiTheme="majorBidi" w:hAnsiTheme="majorBidi" w:cstheme="majorBidi"/>
          <w:sz w:val="28"/>
          <w:szCs w:val="28"/>
        </w:rPr>
        <w:t xml:space="preserve">Priorités nationales pour la conservation et l’utilisation des </w:t>
      </w:r>
      <w:r w:rsidR="00C3204B">
        <w:rPr>
          <w:rFonts w:asciiTheme="majorBidi" w:hAnsiTheme="majorBidi" w:cstheme="majorBidi"/>
          <w:sz w:val="28"/>
          <w:szCs w:val="28"/>
        </w:rPr>
        <w:t>ressources géné</w:t>
      </w:r>
      <w:r w:rsidR="00D46E35" w:rsidRPr="007007B0">
        <w:rPr>
          <w:rFonts w:asciiTheme="majorBidi" w:hAnsiTheme="majorBidi" w:cstheme="majorBidi"/>
          <w:sz w:val="28"/>
          <w:szCs w:val="28"/>
        </w:rPr>
        <w:t>tiques animales</w:t>
      </w:r>
    </w:p>
    <w:p w:rsidR="00D46E35" w:rsidRPr="007007B0" w:rsidRDefault="00D46E35" w:rsidP="007007B0">
      <w:pPr>
        <w:jc w:val="both"/>
        <w:rPr>
          <w:rFonts w:asciiTheme="majorBidi" w:hAnsiTheme="majorBidi" w:cstheme="majorBidi"/>
          <w:b/>
          <w:bCs/>
          <w:color w:val="8B8B8B"/>
          <w:sz w:val="28"/>
          <w:szCs w:val="28"/>
        </w:rPr>
      </w:pPr>
      <w:r w:rsidRPr="007007B0">
        <w:rPr>
          <w:rFonts w:asciiTheme="majorBidi" w:hAnsiTheme="majorBidi" w:cstheme="majorBidi"/>
          <w:b/>
          <w:bCs/>
          <w:noProof/>
          <w:color w:val="8B8B8B"/>
          <w:sz w:val="28"/>
          <w:szCs w:val="28"/>
        </w:rPr>
        <w:drawing>
          <wp:inline distT="0" distB="0" distL="0" distR="0">
            <wp:extent cx="5438775" cy="5208270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20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4B" w:rsidRDefault="00C3204B" w:rsidP="007007B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2D48E9" w:rsidRPr="007007B0" w:rsidRDefault="002D48E9" w:rsidP="00C320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007B0">
        <w:rPr>
          <w:rFonts w:asciiTheme="majorBidi" w:hAnsiTheme="majorBidi" w:cstheme="majorBidi"/>
          <w:color w:val="000000"/>
          <w:sz w:val="28"/>
          <w:szCs w:val="28"/>
        </w:rPr>
        <w:lastRenderedPageBreak/>
        <w:t>Cependant, un certain nombre de mécanismes nécessaires à l’incorporation des</w:t>
      </w:r>
      <w:r w:rsidR="00C320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programmes agricoles locaux dans le secteur agricole national et la réhabilitation de la</w:t>
      </w:r>
      <w:r w:rsidR="00C320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007B0">
        <w:rPr>
          <w:rFonts w:asciiTheme="majorBidi" w:hAnsiTheme="majorBidi" w:cstheme="majorBidi"/>
          <w:color w:val="000000"/>
          <w:sz w:val="28"/>
          <w:szCs w:val="28"/>
        </w:rPr>
        <w:t>diversité animale doivent être étudiés.</w:t>
      </w:r>
    </w:p>
    <w:p w:rsidR="00CD397B" w:rsidRDefault="00CD397B" w:rsidP="00C3204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787878"/>
          <w:sz w:val="28"/>
          <w:szCs w:val="28"/>
        </w:rPr>
      </w:pP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La conservation des espèces les plus menacées par des mesures de</w:t>
      </w:r>
      <w:r w:rsidR="00C3204B"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 </w:t>
      </w: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conservation in-situ (aires protégées) et ex-situ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La réintroduction dans les systèmes de production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L’amélioration de la vulgarisation relative à la production animale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Limitation des subventions qui favorisent les races exotiques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Subvention pour les races menacées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La gestion et l’utilisation rationnelle et durable des ressources naturelles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Le renforcement de la gestion de l’information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La création d’institutions adéquates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Le renforcement de la recherche scientifique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Investissement dans la recherche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Intervention contre la sécheresse</w:t>
      </w:r>
    </w:p>
    <w:p w:rsid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Participation de la population, des organismes non gouvernementaux et du</w:t>
      </w:r>
      <w:r w:rsidR="00C3204B"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 </w:t>
      </w: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secteur privé.</w:t>
      </w:r>
    </w:p>
    <w:p w:rsidR="002D48E9" w:rsidRPr="00CD397B" w:rsidRDefault="002D48E9" w:rsidP="00CD397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787878"/>
          <w:sz w:val="28"/>
          <w:szCs w:val="28"/>
        </w:rPr>
      </w:pP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La promotion de l’éducation, de la formation et de la sensibilisation sur la</w:t>
      </w:r>
      <w:r w:rsidR="00C3204B"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 xml:space="preserve"> </w:t>
      </w:r>
      <w:r w:rsidRPr="00CD397B">
        <w:rPr>
          <w:rFonts w:asciiTheme="majorBidi" w:hAnsiTheme="majorBidi" w:cstheme="majorBidi"/>
          <w:b/>
          <w:bCs/>
          <w:color w:val="787878"/>
          <w:sz w:val="28"/>
          <w:szCs w:val="28"/>
        </w:rPr>
        <w:t>biodiversité</w:t>
      </w:r>
    </w:p>
    <w:p w:rsidR="002D48E9" w:rsidRPr="00D46E35" w:rsidRDefault="002D48E9" w:rsidP="002D48E9">
      <w:pPr>
        <w:rPr>
          <w:rFonts w:ascii="Times-Bold" w:hAnsi="Times-Bold" w:cs="Times-Bold"/>
          <w:b/>
          <w:bCs/>
          <w:color w:val="8B8B8B"/>
          <w:sz w:val="24"/>
          <w:szCs w:val="24"/>
        </w:rPr>
      </w:pPr>
    </w:p>
    <w:sectPr w:rsidR="002D48E9" w:rsidRPr="00D4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7C1C"/>
    <w:multiLevelType w:val="hybridMultilevel"/>
    <w:tmpl w:val="DDE889EE"/>
    <w:lvl w:ilvl="0" w:tplc="CC94D4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1E81"/>
    <w:rsid w:val="00263CFE"/>
    <w:rsid w:val="002D48E9"/>
    <w:rsid w:val="003B295D"/>
    <w:rsid w:val="007007B0"/>
    <w:rsid w:val="00C3204B"/>
    <w:rsid w:val="00C71E81"/>
    <w:rsid w:val="00CD397B"/>
    <w:rsid w:val="00D46E35"/>
    <w:rsid w:val="00F9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E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1208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2021-05-09T22:46:00Z</dcterms:created>
  <dcterms:modified xsi:type="dcterms:W3CDTF">2021-05-09T23:45:00Z</dcterms:modified>
</cp:coreProperties>
</file>