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9D392F" w:rsidRDefault="009D392F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أصول الفقه المقارن</w:t>
      </w:r>
    </w:p>
    <w:p w:rsidR="009879E6" w:rsidRPr="009D392F" w:rsidRDefault="009879E6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ماستر: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الفقه المقارن وأصوله</w:t>
      </w: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السداسي: الثالث</w:t>
      </w:r>
    </w:p>
    <w:p w:rsidR="005C0297" w:rsidRDefault="005C0297" w:rsidP="005C0297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السادسة:</w:t>
      </w:r>
    </w:p>
    <w:p w:rsidR="005C0297" w:rsidRDefault="005C0297" w:rsidP="005C0297">
      <w:pPr>
        <w:ind w:firstLine="142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- الألفاظ ودلالتها على الأحكام:</w:t>
      </w:r>
    </w:p>
    <w:p w:rsidR="005C0297" w:rsidRDefault="009D392F" w:rsidP="009D392F">
      <w:pPr>
        <w:ind w:firstLine="142"/>
        <w:contextualSpacing/>
        <w:rPr>
          <w:rFonts w:cs="Traditional Arabic" w:hint="cs"/>
          <w:sz w:val="36"/>
          <w:szCs w:val="36"/>
          <w:rtl/>
        </w:rPr>
      </w:pPr>
      <w:r w:rsidRPr="009D392F">
        <w:rPr>
          <w:rFonts w:cs="Traditional Arabic"/>
          <w:sz w:val="36"/>
          <w:szCs w:val="36"/>
          <w:rtl/>
        </w:rPr>
        <w:t>باعتبار كيفية دلالة اللفظ على المعنى:</w:t>
      </w:r>
    </w:p>
    <w:p w:rsidR="009B41C1" w:rsidRDefault="009D392F" w:rsidP="009B41C1">
      <w:pPr>
        <w:ind w:firstLine="142"/>
        <w:contextualSpacing/>
        <w:rPr>
          <w:rFonts w:cs="Traditional Arabic" w:hint="cs"/>
          <w:sz w:val="36"/>
          <w:szCs w:val="36"/>
          <w:rtl/>
        </w:rPr>
      </w:pPr>
      <w:r w:rsidRPr="009D392F">
        <w:rPr>
          <w:rFonts w:cs="Traditional Arabic"/>
          <w:sz w:val="36"/>
          <w:szCs w:val="36"/>
          <w:rtl/>
        </w:rPr>
        <w:t xml:space="preserve"> عبارة النص، إشارة النص، دلالة النص، اقتضاء النص، مفهوم المخالفة.</w:t>
      </w:r>
    </w:p>
    <w:p w:rsidR="009B41C1" w:rsidRDefault="009B41C1" w:rsidP="009B41C1">
      <w:pPr>
        <w:ind w:firstLine="142"/>
        <w:contextualSpacing/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</w:pPr>
      <w:r w:rsidRPr="000F5B72">
        <w:rPr>
          <w:rFonts w:ascii="Arabic Transparent" w:hAnsi="Arabic Transparent" w:cs="Traditional Arabic"/>
          <w:b/>
          <w:sz w:val="36"/>
          <w:szCs w:val="36"/>
          <w:rtl/>
          <w:lang w:bidi="ar-DZ"/>
        </w:rPr>
        <w:t>- عبارة النص وأحكامها.</w:t>
      </w:r>
    </w:p>
    <w:p w:rsidR="009B41C1" w:rsidRDefault="009B41C1" w:rsidP="009B41C1">
      <w:pPr>
        <w:ind w:firstLine="142"/>
        <w:contextualSpacing/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</w:pPr>
      <w:r w:rsidRPr="000F5B72">
        <w:rPr>
          <w:rFonts w:ascii="Arabic Transparent" w:hAnsi="Arabic Transparent" w:cs="Traditional Arabic"/>
          <w:b/>
          <w:sz w:val="36"/>
          <w:szCs w:val="36"/>
          <w:rtl/>
          <w:lang w:bidi="ar-DZ"/>
        </w:rPr>
        <w:t>- إشارة النص وأحكامها.</w:t>
      </w:r>
    </w:p>
    <w:p w:rsidR="009B41C1" w:rsidRPr="000F5B72" w:rsidRDefault="009B41C1" w:rsidP="009B41C1">
      <w:pPr>
        <w:ind w:firstLine="142"/>
        <w:contextualSpacing/>
        <w:rPr>
          <w:rFonts w:ascii="Arabic Transparent" w:hAnsi="Arabic Transparent" w:cs="Traditional Arabic"/>
          <w:b/>
          <w:sz w:val="36"/>
          <w:szCs w:val="36"/>
          <w:lang w:bidi="ar-DZ"/>
        </w:rPr>
      </w:pPr>
      <w:r w:rsidRPr="000F5B72">
        <w:rPr>
          <w:rFonts w:ascii="Arabic Transparent" w:hAnsi="Arabic Transparent" w:cs="Traditional Arabic"/>
          <w:b/>
          <w:sz w:val="36"/>
          <w:szCs w:val="36"/>
          <w:rtl/>
          <w:lang w:bidi="ar-DZ"/>
        </w:rPr>
        <w:t>- دلالة النص وأحكامها.</w:t>
      </w:r>
    </w:p>
    <w:p w:rsidR="005C0297" w:rsidRDefault="009B41C1" w:rsidP="009B41C1">
      <w:pPr>
        <w:ind w:firstLine="142"/>
        <w:contextualSpacing/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</w:pPr>
      <w:r w:rsidRPr="000F5B72">
        <w:rPr>
          <w:rFonts w:ascii="Arabic Transparent" w:hAnsi="Arabic Transparent" w:cs="Traditional Arabic"/>
          <w:b/>
          <w:sz w:val="36"/>
          <w:szCs w:val="36"/>
          <w:rtl/>
          <w:lang w:bidi="ar-DZ"/>
        </w:rPr>
        <w:t>- دلالة الاقتضاء وأحكامها.</w:t>
      </w:r>
    </w:p>
    <w:p w:rsidR="009B41C1" w:rsidRDefault="009B41C1" w:rsidP="009B41C1">
      <w:pPr>
        <w:ind w:firstLine="142"/>
        <w:contextualSpacing/>
        <w:rPr>
          <w:rFonts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- مفهوم المخالفة: أنواعه وأحكامه، وشروطه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>المراجع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: 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مصادر قديمة: - الرازي، المحصول.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i/>
          <w:iCs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sz w:val="36"/>
          <w:szCs w:val="36"/>
          <w:rtl/>
          <w:lang w:bidi="ar-DZ"/>
        </w:rPr>
        <w:t>الزركشي، البحر المحيط.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الآمدي، الإحكام في أصول الأحكام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 ابن السبكي، الإبهاج في شرح المنهاج.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مصادر معاصرة: - شعبان محمد إسماعيل، دراسات حول الإجماع والقياس.</w:t>
      </w:r>
    </w:p>
    <w:p w:rsidR="00B45FB4" w:rsidRPr="009D392F" w:rsidRDefault="00B45FB4" w:rsidP="009D392F">
      <w:pPr>
        <w:ind w:firstLine="142"/>
        <w:contextualSpacing/>
        <w:rPr>
          <w:rFonts w:cs="Traditional Arabic"/>
          <w:bCs/>
          <w:sz w:val="36"/>
          <w:szCs w:val="36"/>
          <w:lang w:bidi="ar-DZ"/>
        </w:rPr>
      </w:pPr>
    </w:p>
    <w:sectPr w:rsidR="00B45FB4" w:rsidRPr="009D392F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9879E6"/>
    <w:rsid w:val="000F448F"/>
    <w:rsid w:val="001373D9"/>
    <w:rsid w:val="002927E9"/>
    <w:rsid w:val="005346AB"/>
    <w:rsid w:val="005A3F8D"/>
    <w:rsid w:val="005C0297"/>
    <w:rsid w:val="005C5D9B"/>
    <w:rsid w:val="00914ACB"/>
    <w:rsid w:val="009879E6"/>
    <w:rsid w:val="009B41C1"/>
    <w:rsid w:val="009D392F"/>
    <w:rsid w:val="00B45FB4"/>
    <w:rsid w:val="00BA6CD6"/>
    <w:rsid w:val="00BC33F8"/>
    <w:rsid w:val="00D71808"/>
    <w:rsid w:val="00D97EC8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4</cp:revision>
  <dcterms:created xsi:type="dcterms:W3CDTF">2020-12-09T10:52:00Z</dcterms:created>
  <dcterms:modified xsi:type="dcterms:W3CDTF">2020-12-09T12:12:00Z</dcterms:modified>
</cp:coreProperties>
</file>