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9D392F" w:rsidRDefault="009D392F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أصول الفقه المقارن</w:t>
      </w:r>
    </w:p>
    <w:p w:rsidR="009879E6" w:rsidRPr="009D392F" w:rsidRDefault="009879E6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ماستر: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الفقه المقارن وأصوله</w:t>
      </w: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السداسي: الثالث</w:t>
      </w:r>
    </w:p>
    <w:p w:rsidR="003F2844" w:rsidRDefault="003F2844" w:rsidP="003F2844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الحادية عشرة:</w:t>
      </w:r>
    </w:p>
    <w:p w:rsidR="003F2844" w:rsidRDefault="003F2844" w:rsidP="009D392F">
      <w:pPr>
        <w:ind w:firstLine="142"/>
        <w:contextualSpacing/>
        <w:rPr>
          <w:rFonts w:cs="Traditional Arabic" w:hint="cs"/>
          <w:sz w:val="36"/>
          <w:szCs w:val="36"/>
          <w:rtl/>
          <w:lang w:bidi="ar-DZ"/>
        </w:rPr>
      </w:pPr>
      <w:r>
        <w:rPr>
          <w:rFonts w:cs="Traditional Arabic" w:hint="cs"/>
          <w:bCs/>
          <w:sz w:val="36"/>
          <w:szCs w:val="36"/>
          <w:rtl/>
          <w:lang w:bidi="ar-DZ"/>
        </w:rPr>
        <w:t xml:space="preserve">- </w:t>
      </w:r>
      <w:r w:rsidR="009D392F" w:rsidRPr="009D392F">
        <w:rPr>
          <w:rFonts w:cs="Traditional Arabic" w:hint="cs"/>
          <w:sz w:val="36"/>
          <w:szCs w:val="36"/>
          <w:rtl/>
          <w:lang w:bidi="ar-DZ"/>
        </w:rPr>
        <w:t>منهج الحنفية في ترجيح الأقيسة</w:t>
      </w:r>
      <w:r>
        <w:rPr>
          <w:rFonts w:cs="Traditional Arabic" w:hint="cs"/>
          <w:sz w:val="36"/>
          <w:szCs w:val="36"/>
          <w:rtl/>
          <w:lang w:bidi="ar-DZ"/>
        </w:rPr>
        <w:t>:</w:t>
      </w:r>
    </w:p>
    <w:p w:rsidR="009D392F" w:rsidRDefault="003F2844" w:rsidP="009D392F">
      <w:pPr>
        <w:ind w:firstLine="142"/>
        <w:contextualSpacing/>
        <w:rPr>
          <w:rFonts w:cs="Traditional Arabic" w:hint="cs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 المرجحات الصحيحة.</w:t>
      </w:r>
    </w:p>
    <w:p w:rsidR="009D392F" w:rsidRPr="009D392F" w:rsidRDefault="003F2844" w:rsidP="003F2844">
      <w:pPr>
        <w:ind w:firstLine="142"/>
        <w:contextualSpacing/>
        <w:rPr>
          <w:rFonts w:cs="Traditional Arabic"/>
          <w:bCs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9D392F" w:rsidRPr="009D392F">
        <w:rPr>
          <w:rFonts w:cs="Traditional Arabic" w:hint="cs"/>
          <w:sz w:val="36"/>
          <w:szCs w:val="36"/>
          <w:rtl/>
          <w:lang w:bidi="ar-DZ"/>
        </w:rPr>
        <w:t>المرجحات الفاسدة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>المراجع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: 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مصادر قديمة: - الرازي، المحصول.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i/>
          <w:iCs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sz w:val="36"/>
          <w:szCs w:val="36"/>
          <w:rtl/>
          <w:lang w:bidi="ar-DZ"/>
        </w:rPr>
        <w:t>الزركشي، البحر المحيط.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الآمدي، الإحكام في أصول الأحكام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 ابن السبكي، الإبهاج في شرح المنهاج.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مصادر معاصرة: - شعبان محمد إسماعيل، دراسات حول الإجماع والقياس.</w:t>
      </w:r>
    </w:p>
    <w:p w:rsidR="00B45FB4" w:rsidRPr="009D392F" w:rsidRDefault="009D392F" w:rsidP="009D392F">
      <w:pPr>
        <w:ind w:firstLine="142"/>
        <w:contextualSpacing/>
        <w:rPr>
          <w:rFonts w:cs="Traditional Arabic"/>
          <w:bCs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ميادة محمد الحسن، التّعارض بين الأقيسة.</w:t>
      </w:r>
    </w:p>
    <w:sectPr w:rsidR="00B45FB4" w:rsidRPr="009D392F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9879E6"/>
    <w:rsid w:val="000F448F"/>
    <w:rsid w:val="001373D9"/>
    <w:rsid w:val="002927E9"/>
    <w:rsid w:val="003F2844"/>
    <w:rsid w:val="004746A1"/>
    <w:rsid w:val="005346AB"/>
    <w:rsid w:val="005A3F8D"/>
    <w:rsid w:val="006E41C3"/>
    <w:rsid w:val="007903D2"/>
    <w:rsid w:val="007E3F0A"/>
    <w:rsid w:val="00914ACB"/>
    <w:rsid w:val="009879E6"/>
    <w:rsid w:val="009D392F"/>
    <w:rsid w:val="00A802D2"/>
    <w:rsid w:val="00B45FB4"/>
    <w:rsid w:val="00BA6CD6"/>
    <w:rsid w:val="00BC33F8"/>
    <w:rsid w:val="00CF0714"/>
    <w:rsid w:val="00D71808"/>
    <w:rsid w:val="00D97EC8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3</cp:revision>
  <dcterms:created xsi:type="dcterms:W3CDTF">2020-12-09T10:53:00Z</dcterms:created>
  <dcterms:modified xsi:type="dcterms:W3CDTF">2020-12-09T12:26:00Z</dcterms:modified>
</cp:coreProperties>
</file>