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27" w:rsidRPr="007F6E44" w:rsidRDefault="009B7327" w:rsidP="009B7327">
      <w:pPr>
        <w:shd w:val="clear" w:color="auto" w:fill="A6A6A6" w:themeFill="background1" w:themeFillShade="A6"/>
        <w:bidi/>
        <w:spacing w:after="0" w:line="264" w:lineRule="auto"/>
        <w:jc w:val="both"/>
        <w:rPr>
          <w:rFonts w:cs="Traditional Arabic"/>
          <w:b/>
          <w:bCs/>
          <w:sz w:val="36"/>
          <w:szCs w:val="36"/>
          <w:rtl/>
          <w:lang w:bidi="ar-DZ"/>
        </w:rPr>
      </w:pPr>
      <w:r>
        <w:rPr>
          <w:rFonts w:cs="Traditional Arabic" w:hint="cs"/>
          <w:b/>
          <w:bCs/>
          <w:sz w:val="36"/>
          <w:szCs w:val="36"/>
          <w:rtl/>
          <w:lang w:bidi="ar-DZ"/>
        </w:rPr>
        <w:t xml:space="preserve">خامسا- </w:t>
      </w:r>
      <w:r w:rsidRPr="007F6E44">
        <w:rPr>
          <w:rFonts w:cs="Traditional Arabic" w:hint="cs"/>
          <w:b/>
          <w:bCs/>
          <w:sz w:val="36"/>
          <w:szCs w:val="36"/>
          <w:rtl/>
          <w:lang w:bidi="ar-DZ"/>
        </w:rPr>
        <w:t>السرد العجائبي:</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تع</w:t>
      </w:r>
      <w:r w:rsidRPr="007F6E44">
        <w:rPr>
          <w:rFonts w:eastAsia="Calibri" w:cs="Traditional Arabic" w:hint="cs"/>
          <w:sz w:val="36"/>
          <w:szCs w:val="36"/>
          <w:rtl/>
          <w:lang w:bidi="ar-DZ"/>
        </w:rPr>
        <w:t>د</w:t>
      </w:r>
      <w:r w:rsidRPr="007F6E44">
        <w:rPr>
          <w:rFonts w:eastAsia="Calibri" w:cs="Traditional Arabic"/>
          <w:sz w:val="36"/>
          <w:szCs w:val="36"/>
          <w:rtl/>
          <w:lang w:bidi="ar-DZ"/>
        </w:rPr>
        <w:t xml:space="preserve"> </w:t>
      </w:r>
      <w:r w:rsidRPr="007F6E44">
        <w:rPr>
          <w:rFonts w:eastAsia="Calibri" w:cs="Traditional Arabic" w:hint="cs"/>
          <w:sz w:val="36"/>
          <w:szCs w:val="36"/>
          <w:rtl/>
          <w:lang w:bidi="ar-DZ"/>
        </w:rPr>
        <w:t>الحكايات و</w:t>
      </w:r>
      <w:r w:rsidRPr="007F6E44">
        <w:rPr>
          <w:rFonts w:eastAsia="Calibri" w:cs="Traditional Arabic"/>
          <w:sz w:val="36"/>
          <w:szCs w:val="36"/>
          <w:rtl/>
          <w:lang w:bidi="ar-DZ"/>
        </w:rPr>
        <w:t xml:space="preserve">كتب الجغرافية والرحلات من التراث العربي الزاخر بالعجائبي في مختلف تنوعاته، من خلال ما حمله عند </w:t>
      </w:r>
      <w:r w:rsidRPr="007F6E44">
        <w:rPr>
          <w:rFonts w:eastAsia="Calibri" w:cs="Traditional Arabic" w:hint="cs"/>
          <w:sz w:val="36"/>
          <w:szCs w:val="36"/>
          <w:rtl/>
          <w:lang w:bidi="ar-DZ"/>
        </w:rPr>
        <w:t>ا</w:t>
      </w:r>
      <w:r w:rsidRPr="007F6E44">
        <w:rPr>
          <w:rFonts w:eastAsia="Calibri" w:cs="Traditional Arabic"/>
          <w:sz w:val="36"/>
          <w:szCs w:val="36"/>
          <w:rtl/>
          <w:lang w:bidi="ar-DZ"/>
        </w:rPr>
        <w:t>نتقاله من الشفاهية إلى دوائر الكتابة في حلقة متصلة، وتعرضه لتفاعل نصي، جعله منفتحا على أنساق ثقافية وعقائدية وتاريخية و</w:t>
      </w:r>
      <w:r w:rsidRPr="007F6E44">
        <w:rPr>
          <w:rFonts w:eastAsia="Calibri" w:cs="Traditional Arabic" w:hint="cs"/>
          <w:sz w:val="36"/>
          <w:szCs w:val="36"/>
          <w:rtl/>
          <w:lang w:bidi="ar-DZ"/>
        </w:rPr>
        <w:t>ا</w:t>
      </w:r>
      <w:r w:rsidRPr="007F6E44">
        <w:rPr>
          <w:rFonts w:eastAsia="Calibri" w:cs="Traditional Arabic"/>
          <w:sz w:val="36"/>
          <w:szCs w:val="36"/>
          <w:rtl/>
          <w:lang w:bidi="ar-DZ"/>
        </w:rPr>
        <w:t>جتماعية مما أدى إلى تنوع صور العجيب والخارق في هذه الوحدات السردية، وعلى الرغم من "الانفتاح العجائبي على المتخيل السّردي العربي بمروياته وسجلاته المكتوبة، وعلى المتخيل بمراجعه التاريخية، والدينية والثقافية كافة إلا أن العربية لا تزال تفتقر إلى وجود معجم تاريخي عربي يعنى بدلالات الكلمة وبتطورها الثقافي عبر العصور المختلفة، كما أنّها تفتقر إلى وجود معجم فلسفي تأصيلي يعنى بذاكرة المصطلح ودلالته المتنوعة عند النّقاد العرب القدامى، وفي المشهد النّقدي المعاصر".</w:t>
      </w:r>
      <w:r w:rsidRPr="00902616">
        <w:rPr>
          <w:rFonts w:ascii="Times New Roman" w:hAnsi="Times New Roman" w:cs="Traditional Arabic"/>
          <w:sz w:val="36"/>
          <w:szCs w:val="36"/>
          <w:vertAlign w:val="superscript"/>
          <w:rtl/>
          <w:lang w:bidi="ar-DZ"/>
        </w:rPr>
        <w:t>(</w:t>
      </w:r>
      <w:r w:rsidRPr="00902616">
        <w:rPr>
          <w:rFonts w:ascii="Times New Roman" w:hAnsi="Times New Roman" w:cs="Traditional Arabic"/>
          <w:sz w:val="36"/>
          <w:szCs w:val="36"/>
          <w:vertAlign w:val="superscript"/>
          <w:rtl/>
          <w:lang w:bidi="ar-DZ"/>
        </w:rPr>
        <w:footnoteReference w:id="2"/>
      </w:r>
      <w:r w:rsidRPr="00902616">
        <w:rPr>
          <w:rFonts w:ascii="Times New Roman" w:hAnsi="Times New Roman" w:cs="Traditional Arabic"/>
          <w:sz w:val="36"/>
          <w:szCs w:val="36"/>
          <w:vertAlign w:val="superscript"/>
          <w:rtl/>
          <w:lang w:bidi="ar-DZ"/>
        </w:rPr>
        <w:t>)</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فالعجيب في التراث كمفهوم غير موجود قديمًا</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لأن المصطلح ينتمي إلى العلوم الإنسانية الحديثة</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 xml:space="preserve">إلا أنّه من الممكن البحث لغويا وعن مدلولاته في المعاجم العربية، </w:t>
      </w:r>
      <w:r w:rsidRPr="007F6E44">
        <w:rPr>
          <w:rFonts w:eastAsia="Calibri" w:cs="Traditional Arabic" w:hint="cs"/>
          <w:sz w:val="36"/>
          <w:szCs w:val="36"/>
          <w:rtl/>
          <w:lang w:bidi="ar-DZ"/>
        </w:rPr>
        <w:t xml:space="preserve">فقد </w:t>
      </w:r>
      <w:r w:rsidRPr="007F6E44">
        <w:rPr>
          <w:rFonts w:eastAsia="Calibri" w:cs="Traditional Arabic"/>
          <w:sz w:val="36"/>
          <w:szCs w:val="36"/>
          <w:rtl/>
          <w:lang w:bidi="ar-DZ"/>
        </w:rPr>
        <w:t>جاء في لسان العرب لابن منظور "أن العُجْبَ ما يَردُ عليك لقلة اعتياده، وأن أصل العجب في اللّغة أن الإنسان إذا رأى ما يكره... قال: قد عجبت من كذا" و"العَجَبُ النظر إلى شيء غير مألوف ولا معتاد" و"التعجب أن ترى الشيء يعجبك تظن أنّك لم تر مثله" و"آيات الله عجائبه"</w:t>
      </w:r>
      <w:r w:rsidRPr="00902616">
        <w:rPr>
          <w:rFonts w:ascii="Times New Roman" w:hAnsi="Times New Roman" w:cs="Traditional Arabic"/>
          <w:sz w:val="36"/>
          <w:szCs w:val="36"/>
          <w:vertAlign w:val="superscript"/>
          <w:rtl/>
          <w:lang w:bidi="ar-DZ"/>
        </w:rPr>
        <w:t>(</w:t>
      </w:r>
      <w:r w:rsidRPr="00902616">
        <w:rPr>
          <w:rFonts w:ascii="Times New Roman" w:hAnsi="Times New Roman" w:cs="Traditional Arabic"/>
          <w:sz w:val="36"/>
          <w:szCs w:val="36"/>
          <w:vertAlign w:val="superscript"/>
          <w:rtl/>
          <w:lang w:bidi="ar-DZ"/>
        </w:rPr>
        <w:footnoteReference w:id="3"/>
      </w:r>
      <w:r w:rsidRPr="00902616">
        <w:rPr>
          <w:rFonts w:ascii="Times New Roman" w:hAnsi="Times New Roman" w:cs="Traditional Arabic"/>
          <w:sz w:val="36"/>
          <w:szCs w:val="36"/>
          <w:vertAlign w:val="superscript"/>
          <w:rtl/>
          <w:lang w:bidi="ar-DZ"/>
        </w:rPr>
        <w:t>)</w:t>
      </w:r>
      <w:r w:rsidRPr="007F6E44">
        <w:rPr>
          <w:rFonts w:eastAsia="Calibri" w:cs="Traditional Arabic"/>
          <w:sz w:val="36"/>
          <w:szCs w:val="36"/>
          <w:rtl/>
          <w:lang w:bidi="ar-DZ"/>
        </w:rPr>
        <w:t>، فهو يرى أن العجيب هو الأمر النادر الحدوث، الذي يثير في نفس الإنسان الدهشة والاستغراب لقلة اعتياد الإنسان عليه وهو يعرفه انطلاقا من تراكمات سابقة.</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فقد جاء في (مقاييس اللّغة) لابن فارس: "وتقول من باب العجب: عجِبَ يَعجبُ عجبًا، وأمر عجيب وذلك إذا استُكبر واستُعظم، قالوا: وزعم الخليل أنّ بين العجيب والعُجاب فرقًا فأمّا العجيب والعجبُ مثله "[فالأمر يتعجّب منه] وأمّا العجاب فالذّي تجاوز حدّ العجيب"</w:t>
      </w:r>
      <w:r w:rsidRPr="007F6E44">
        <w:rPr>
          <w:rFonts w:eastAsia="Calibri" w:cs="Traditional Arabic" w:hint="cs"/>
          <w:sz w:val="36"/>
          <w:szCs w:val="36"/>
          <w:rtl/>
          <w:lang w:bidi="ar-DZ"/>
        </w:rPr>
        <w:t>.</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hint="cs"/>
          <w:sz w:val="36"/>
          <w:szCs w:val="36"/>
          <w:rtl/>
          <w:lang w:bidi="ar-DZ"/>
        </w:rPr>
        <w:lastRenderedPageBreak/>
        <w:t xml:space="preserve"> </w:t>
      </w:r>
      <w:r w:rsidRPr="007F6E44">
        <w:rPr>
          <w:rFonts w:eastAsia="Calibri" w:cs="Traditional Arabic"/>
          <w:sz w:val="36"/>
          <w:szCs w:val="36"/>
          <w:rtl/>
          <w:lang w:bidi="ar-DZ"/>
        </w:rPr>
        <w:t>من خلال ما تقدّم نلاحظ أنّ جميع المعاجم القديمة تُجمع على أنّ العجيب هو الأمر النادر الحدوث.</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 xml:space="preserve">أمّا فيما يخص </w:t>
      </w:r>
      <w:r w:rsidRPr="007F6E44">
        <w:rPr>
          <w:rFonts w:eastAsia="Calibri" w:cs="Traditional Arabic" w:hint="cs"/>
          <w:sz w:val="36"/>
          <w:szCs w:val="36"/>
          <w:rtl/>
          <w:lang w:bidi="ar-DZ"/>
        </w:rPr>
        <w:t xml:space="preserve">المعاجم </w:t>
      </w:r>
      <w:r w:rsidRPr="007F6E44">
        <w:rPr>
          <w:rFonts w:eastAsia="Calibri" w:cs="Traditional Arabic"/>
          <w:sz w:val="36"/>
          <w:szCs w:val="36"/>
          <w:rtl/>
          <w:lang w:bidi="ar-DZ"/>
        </w:rPr>
        <w:t>الحديثة فقد ورد في قاموس (محيط المحيط) ل"بطرس البستاني" "أنّ العجبُ إنكار ما يرد عليك واستطرافه</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وروعة تعتري الإنسان عند استعظام الشّيء (...)، والتّعجب: انفعال نفسي عمّا خفي سببه"</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في حين يرى "جبران مسعود" في (الرّائد) أنّ العجب: انفعال يُصيب المرء عند استعظام الشيء</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ويذهب "كرم البستاني" في قاموس (المنجد في اللّغة والأعلام) إلى أن العُجْبُ إنكار ما يرد عليك العَجَبُ ج أعجاب: انفعال نفساني يعتري الإنسان عند استعظامه أو استطرافه أو إنكاره ما يرد عليه</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ومنه فالمعاجم الحديثة ترى في أنّ مفهوم العجيب "يدخل في نطاق الانفعالات النّفسية للإنسان".</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 xml:space="preserve">أما القواميس الأجنبية فقد ورد في قاموس "لاروس الصغير" </w:t>
      </w:r>
      <w:r w:rsidRPr="00C821C3">
        <w:rPr>
          <w:rFonts w:asciiTheme="majorBidi" w:eastAsia="Calibri" w:hAnsiTheme="majorBidi" w:cs="Traditional Arabic"/>
          <w:b/>
          <w:bCs/>
          <w:sz w:val="28"/>
          <w:szCs w:val="28"/>
          <w:lang w:bidi="ar-DZ"/>
        </w:rPr>
        <w:t>Le</w:t>
      </w:r>
      <w:r w:rsidRPr="007F6E44">
        <w:rPr>
          <w:rFonts w:asciiTheme="majorBidi" w:eastAsia="Calibri" w:hAnsiTheme="majorBidi" w:cs="Traditional Arabic"/>
          <w:sz w:val="36"/>
          <w:szCs w:val="36"/>
          <w:lang w:bidi="ar-DZ"/>
        </w:rPr>
        <w:t xml:space="preserve"> </w:t>
      </w:r>
      <w:r w:rsidRPr="00C821C3">
        <w:rPr>
          <w:rFonts w:asciiTheme="majorBidi" w:eastAsia="Calibri" w:hAnsiTheme="majorBidi" w:cs="Traditional Arabic"/>
          <w:b/>
          <w:bCs/>
          <w:sz w:val="28"/>
          <w:szCs w:val="28"/>
          <w:lang w:bidi="ar-DZ"/>
        </w:rPr>
        <w:t>Petit</w:t>
      </w:r>
      <w:r w:rsidRPr="007F6E44">
        <w:rPr>
          <w:rFonts w:asciiTheme="majorBidi" w:eastAsia="Calibri" w:hAnsiTheme="majorBidi" w:cs="Traditional Arabic"/>
          <w:sz w:val="36"/>
          <w:szCs w:val="36"/>
          <w:lang w:bidi="ar-DZ"/>
        </w:rPr>
        <w:t xml:space="preserve"> </w:t>
      </w:r>
      <w:r w:rsidRPr="00C821C3">
        <w:rPr>
          <w:rFonts w:asciiTheme="majorBidi" w:eastAsia="Calibri" w:hAnsiTheme="majorBidi" w:cs="Traditional Arabic"/>
          <w:b/>
          <w:bCs/>
          <w:sz w:val="28"/>
          <w:szCs w:val="28"/>
          <w:lang w:bidi="ar-DZ"/>
        </w:rPr>
        <w:t>Larousse</w:t>
      </w:r>
      <w:r w:rsidRPr="007F6E44">
        <w:rPr>
          <w:rFonts w:eastAsia="Calibri" w:cs="Traditional Arabic"/>
          <w:sz w:val="36"/>
          <w:szCs w:val="36"/>
          <w:rtl/>
          <w:lang w:bidi="ar-DZ"/>
        </w:rPr>
        <w:t xml:space="preserve"> ما يلي: العجيب هو الذّي يَبعُد عن ساحة المألوف والعادي للأشياء، أو الذي يظهر فوق الطبيعي</w:t>
      </w:r>
      <w:r w:rsidRPr="00902616">
        <w:rPr>
          <w:rFonts w:ascii="Times New Roman" w:hAnsi="Times New Roman" w:cs="Traditional Arabic"/>
          <w:sz w:val="36"/>
          <w:szCs w:val="36"/>
          <w:vertAlign w:val="superscript"/>
          <w:rtl/>
          <w:lang w:bidi="ar-DZ"/>
        </w:rPr>
        <w:t>(</w:t>
      </w:r>
      <w:r w:rsidRPr="00902616">
        <w:rPr>
          <w:rStyle w:val="Appelnotedebasdep"/>
          <w:rFonts w:ascii="Times New Roman" w:hAnsi="Times New Roman" w:cs="Traditional Arabic"/>
          <w:sz w:val="36"/>
          <w:szCs w:val="36"/>
          <w:rtl/>
          <w:lang w:bidi="ar-DZ"/>
        </w:rPr>
        <w:footnoteReference w:id="4"/>
      </w:r>
      <w:r w:rsidRPr="00902616">
        <w:rPr>
          <w:rFonts w:ascii="Times New Roman" w:hAnsi="Times New Roman" w:cs="Traditional Arabic"/>
          <w:sz w:val="36"/>
          <w:szCs w:val="36"/>
          <w:vertAlign w:val="superscript"/>
          <w:rtl/>
          <w:lang w:bidi="ar-DZ"/>
        </w:rPr>
        <w:t>)</w:t>
      </w:r>
      <w:r w:rsidRPr="007F6E44">
        <w:rPr>
          <w:rFonts w:eastAsia="Calibri" w:cs="Traditional Arabic"/>
          <w:sz w:val="36"/>
          <w:szCs w:val="36"/>
          <w:rtl/>
          <w:lang w:bidi="ar-DZ"/>
        </w:rPr>
        <w:t>.</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في حين نجد في "القاموس الموسوعي" "</w:t>
      </w:r>
      <w:r w:rsidRPr="00C821C3">
        <w:rPr>
          <w:rFonts w:asciiTheme="majorBidi" w:eastAsia="Calibri" w:hAnsiTheme="majorBidi" w:cs="Traditional Arabic"/>
          <w:b/>
          <w:bCs/>
          <w:sz w:val="28"/>
          <w:szCs w:val="28"/>
          <w:lang w:bidi="ar-DZ"/>
        </w:rPr>
        <w:t>Encyclopédique</w:t>
      </w:r>
      <w:r w:rsidRPr="007F6E44">
        <w:rPr>
          <w:rFonts w:eastAsia="Calibri" w:cs="Traditional Arabic"/>
          <w:sz w:val="36"/>
          <w:szCs w:val="36"/>
          <w:lang w:bidi="ar-DZ"/>
        </w:rPr>
        <w:t xml:space="preserve"> </w:t>
      </w:r>
      <w:r w:rsidRPr="00C821C3">
        <w:rPr>
          <w:rFonts w:asciiTheme="majorBidi" w:eastAsia="Calibri" w:hAnsiTheme="majorBidi" w:cs="Traditional Arabic"/>
          <w:b/>
          <w:bCs/>
          <w:sz w:val="28"/>
          <w:szCs w:val="28"/>
          <w:lang w:bidi="ar-DZ"/>
        </w:rPr>
        <w:t>Quillet</w:t>
      </w:r>
      <w:r w:rsidRPr="007F6E44">
        <w:rPr>
          <w:rFonts w:eastAsia="Calibri" w:cs="Traditional Arabic"/>
          <w:sz w:val="36"/>
          <w:szCs w:val="36"/>
          <w:rtl/>
          <w:lang w:bidi="ar-DZ"/>
        </w:rPr>
        <w:t xml:space="preserve"> </w:t>
      </w:r>
      <w:r w:rsidRPr="00C821C3">
        <w:rPr>
          <w:rFonts w:asciiTheme="majorBidi" w:eastAsia="Calibri" w:hAnsiTheme="majorBidi" w:cs="Traditional Arabic"/>
          <w:b/>
          <w:bCs/>
          <w:sz w:val="28"/>
          <w:szCs w:val="28"/>
          <w:lang w:bidi="ar-DZ"/>
        </w:rPr>
        <w:t>Dictionnaire</w:t>
      </w:r>
      <w:r w:rsidRPr="007F6E44">
        <w:rPr>
          <w:rFonts w:eastAsia="Calibri" w:cs="Traditional Arabic"/>
          <w:sz w:val="36"/>
          <w:szCs w:val="36"/>
          <w:rtl/>
          <w:lang w:bidi="ar-DZ"/>
        </w:rPr>
        <w:t>" أن كل عجيب هو ما ي</w:t>
      </w:r>
      <w:r w:rsidRPr="007F6E44">
        <w:rPr>
          <w:rFonts w:eastAsia="Calibri" w:cs="Traditional Arabic" w:hint="cs"/>
          <w:sz w:val="36"/>
          <w:szCs w:val="36"/>
          <w:rtl/>
          <w:lang w:bidi="ar-DZ"/>
        </w:rPr>
        <w:t>ب</w:t>
      </w:r>
      <w:r w:rsidRPr="007F6E44">
        <w:rPr>
          <w:rFonts w:eastAsia="Calibri" w:cs="Traditional Arabic"/>
          <w:sz w:val="36"/>
          <w:szCs w:val="36"/>
          <w:rtl/>
          <w:lang w:bidi="ar-DZ"/>
        </w:rPr>
        <w:t>عد عن ساحة المألوف للأشياء (...) وأدبيًا توجده وسائط فوق طبيعته مثل آلهة الأساطير الشّياطين والملائكة عالم الجن...".</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فالعجيب في هذه القواميس الأجنبية يكمن في الأشياء فوق طبيعيّة</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التي يصعب إيجاد تفسير لها في العالم المألوف، فهو كلّ شيء خارق للعادة والطّبيعة.</w:t>
      </w:r>
    </w:p>
    <w:p w:rsidR="009B7327"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بعد وقوفنا عند التحديد المعجمي لكلمة عجيب "عجائبي"</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نتطرق إلى استعراض أهمّ المفاهيم الاصطلاحيّة الخّاصة بالعجائبي، انطلاقًا من الكتب التّراثية القديمة</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وصولاً إلى المفاهيم الحديثة عند العرب ثمّ الغرب.</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hint="cs"/>
          <w:sz w:val="36"/>
          <w:szCs w:val="36"/>
          <w:rtl/>
          <w:lang w:bidi="ar-DZ"/>
        </w:rPr>
        <w:t>ا</w:t>
      </w:r>
      <w:r w:rsidRPr="007F6E44">
        <w:rPr>
          <w:rFonts w:eastAsia="Calibri" w:cs="Traditional Arabic"/>
          <w:sz w:val="36"/>
          <w:szCs w:val="36"/>
          <w:rtl/>
          <w:lang w:bidi="ar-DZ"/>
        </w:rPr>
        <w:t>لقزويني (</w:t>
      </w:r>
      <w:r w:rsidRPr="00C821C3">
        <w:rPr>
          <w:rFonts w:eastAsia="Calibri" w:cs="Traditional Arabic"/>
          <w:b/>
          <w:bCs/>
          <w:sz w:val="28"/>
          <w:szCs w:val="28"/>
          <w:rtl/>
          <w:lang w:bidi="ar-DZ"/>
        </w:rPr>
        <w:t>ت682ﻫ</w:t>
      </w:r>
      <w:r w:rsidRPr="007F6E44">
        <w:rPr>
          <w:rFonts w:eastAsia="Calibri" w:cs="Traditional Arabic"/>
          <w:sz w:val="36"/>
          <w:szCs w:val="36"/>
          <w:rtl/>
          <w:lang w:bidi="ar-DZ"/>
        </w:rPr>
        <w:t>) في كتابه "عجائب المخلوقات وغرائب الموجودات"</w:t>
      </w:r>
      <w:r w:rsidRPr="00902616">
        <w:rPr>
          <w:rFonts w:ascii="Times New Roman" w:hAnsi="Times New Roman" w:cs="Traditional Arabic"/>
          <w:sz w:val="36"/>
          <w:szCs w:val="36"/>
          <w:vertAlign w:val="superscript"/>
          <w:rtl/>
          <w:lang w:bidi="ar-DZ"/>
        </w:rPr>
        <w:t>(</w:t>
      </w:r>
      <w:r w:rsidRPr="00902616">
        <w:rPr>
          <w:rFonts w:ascii="Times New Roman" w:hAnsi="Times New Roman" w:cs="Traditional Arabic"/>
          <w:sz w:val="36"/>
          <w:szCs w:val="36"/>
          <w:vertAlign w:val="superscript"/>
          <w:rtl/>
          <w:lang w:bidi="ar-DZ"/>
        </w:rPr>
        <w:footnoteReference w:id="5"/>
      </w:r>
      <w:r w:rsidRPr="00902616">
        <w:rPr>
          <w:rFonts w:ascii="Times New Roman" w:hAnsi="Times New Roman" w:cs="Traditional Arabic"/>
          <w:sz w:val="36"/>
          <w:szCs w:val="36"/>
          <w:vertAlign w:val="superscript"/>
          <w:rtl/>
          <w:lang w:bidi="ar-DZ"/>
        </w:rPr>
        <w:t>)</w:t>
      </w:r>
      <w:r w:rsidRPr="007F6E44">
        <w:rPr>
          <w:rFonts w:eastAsia="Calibri" w:cs="Traditional Arabic"/>
          <w:sz w:val="36"/>
          <w:szCs w:val="36"/>
          <w:rtl/>
          <w:lang w:bidi="ar-DZ"/>
        </w:rPr>
        <w:t xml:space="preserve"> يقدم تعريفا في غاية الأهمية، فهو يحاول أن يجعله أكثر دقة</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 xml:space="preserve">يقول: "العجب حيرة تعرض الإنسان لقصوره عن معرفة سبب الشيء وعن معرفة كيفية تأثره </w:t>
      </w:r>
      <w:r w:rsidRPr="007F6E44">
        <w:rPr>
          <w:rFonts w:eastAsia="Calibri" w:cs="Traditional Arabic" w:hint="cs"/>
          <w:sz w:val="36"/>
          <w:szCs w:val="36"/>
          <w:rtl/>
          <w:lang w:bidi="ar-DZ"/>
        </w:rPr>
        <w:t>ب</w:t>
      </w:r>
      <w:r w:rsidRPr="007F6E44">
        <w:rPr>
          <w:rFonts w:eastAsia="Calibri" w:cs="Traditional Arabic"/>
          <w:sz w:val="36"/>
          <w:szCs w:val="36"/>
          <w:rtl/>
          <w:lang w:bidi="ar-DZ"/>
        </w:rPr>
        <w:t xml:space="preserve">ه" وهذا التعريف يشبه إلى حد كبير ما جاء به </w:t>
      </w:r>
      <w:r w:rsidRPr="007F6E44">
        <w:rPr>
          <w:rFonts w:eastAsia="Calibri" w:cs="Traditional Arabic"/>
          <w:sz w:val="36"/>
          <w:szCs w:val="36"/>
          <w:rtl/>
          <w:lang w:bidi="ar-DZ"/>
        </w:rPr>
        <w:lastRenderedPageBreak/>
        <w:t xml:space="preserve">اللغوي الكبير الجرجاني </w:t>
      </w:r>
      <w:r w:rsidRPr="007F6E44">
        <w:rPr>
          <w:rFonts w:eastAsia="Calibri" w:cs="Traditional Arabic" w:hint="cs"/>
          <w:sz w:val="36"/>
          <w:szCs w:val="36"/>
          <w:rtl/>
          <w:lang w:bidi="ar-DZ"/>
        </w:rPr>
        <w:t>فبالنسبة إليه</w:t>
      </w:r>
      <w:r w:rsidRPr="007F6E44">
        <w:rPr>
          <w:rFonts w:eastAsia="Calibri" w:cs="Traditional Arabic"/>
          <w:sz w:val="36"/>
          <w:szCs w:val="36"/>
          <w:rtl/>
          <w:lang w:bidi="ar-DZ"/>
        </w:rPr>
        <w:t xml:space="preserve">: "العجب هو تغير النفس بما خفي سببه وخرج عن العادة مثله"، </w:t>
      </w:r>
      <w:r w:rsidRPr="007F6E44">
        <w:rPr>
          <w:rFonts w:eastAsia="Calibri" w:cs="Traditional Arabic" w:hint="cs"/>
          <w:sz w:val="36"/>
          <w:szCs w:val="36"/>
          <w:rtl/>
          <w:lang w:bidi="ar-DZ"/>
        </w:rPr>
        <w:t xml:space="preserve">إذ </w:t>
      </w:r>
      <w:r w:rsidRPr="007F6E44">
        <w:rPr>
          <w:rFonts w:eastAsia="Calibri" w:cs="Traditional Arabic"/>
          <w:sz w:val="36"/>
          <w:szCs w:val="36"/>
          <w:rtl/>
          <w:lang w:bidi="ar-DZ"/>
        </w:rPr>
        <w:t>كلاهما يربط العجيب بتغير الحالة النّفسية للإنسان، بسبب عدم قدرته على تفسير بعض الأمور التي تصادفه في حياته، أما الجاحظ</w:t>
      </w:r>
      <w:r w:rsidRPr="007F6E44">
        <w:rPr>
          <w:rFonts w:eastAsia="Calibri" w:cs="Traditional Arabic"/>
          <w:sz w:val="36"/>
          <w:szCs w:val="36"/>
          <w:lang w:bidi="ar-DZ"/>
        </w:rPr>
        <w:t xml:space="preserve"> </w:t>
      </w:r>
      <w:r w:rsidRPr="007F6E44">
        <w:rPr>
          <w:rFonts w:eastAsia="Calibri" w:cs="Traditional Arabic"/>
          <w:sz w:val="36"/>
          <w:szCs w:val="36"/>
          <w:rtl/>
          <w:lang w:bidi="ar-DZ"/>
        </w:rPr>
        <w:t>(</w:t>
      </w:r>
      <w:r w:rsidRPr="00C821C3">
        <w:rPr>
          <w:rFonts w:eastAsia="Calibri" w:cs="Traditional Arabic"/>
          <w:b/>
          <w:bCs/>
          <w:sz w:val="28"/>
          <w:szCs w:val="28"/>
          <w:rtl/>
          <w:lang w:bidi="ar-DZ"/>
        </w:rPr>
        <w:t>ت255ﻫ</w:t>
      </w:r>
      <w:r w:rsidRPr="007F6E44">
        <w:rPr>
          <w:rFonts w:eastAsia="Calibri" w:cs="Traditional Arabic"/>
          <w:sz w:val="36"/>
          <w:szCs w:val="36"/>
          <w:rtl/>
          <w:lang w:bidi="ar-DZ"/>
        </w:rPr>
        <w:t>) فهو يخالفهم الرأي، فإذا ما كانوا يعرّفون العجيب مثلما يعرفون الغريب من جهة المشاهِد المنفعل بما يَلحْظُ عينيا وبصريا المادة والشيء غير المألوف</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فإنّه ينظر إليه من جهة علاقة المتلقي بالسارد، فيتحدث عن أثر الخطيب في العامة من النّاس قائلا: "فإذا هجموا على ما لم يحتسبوه وظهر منه خلاف ما قدروه تضاعف حُسْنُ كلامه في صورهم وكبر في عيونهم، لأن الشيء من غير معدنه أغرب وكلما كان أظرف كان أعجب، و</w:t>
      </w:r>
      <w:r w:rsidRPr="007F6E44">
        <w:rPr>
          <w:rFonts w:eastAsia="Calibri" w:cs="Traditional Arabic" w:hint="cs"/>
          <w:sz w:val="36"/>
          <w:szCs w:val="36"/>
          <w:rtl/>
          <w:lang w:bidi="ar-DZ"/>
        </w:rPr>
        <w:t>كل</w:t>
      </w:r>
      <w:r w:rsidRPr="007F6E44">
        <w:rPr>
          <w:rFonts w:eastAsia="Calibri" w:cs="Traditional Arabic"/>
          <w:sz w:val="36"/>
          <w:szCs w:val="36"/>
          <w:rtl/>
          <w:lang w:bidi="ar-DZ"/>
        </w:rPr>
        <w:t>ما كان أعجب كان أبدع، وإنّما ذلك كنوادر كلام الصبيان ومُلح المجانين فإنَ ضحك</w:t>
      </w:r>
      <w:r w:rsidRPr="007F6E44">
        <w:rPr>
          <w:rFonts w:eastAsia="Calibri" w:cs="Traditional Arabic" w:hint="cs"/>
          <w:sz w:val="36"/>
          <w:szCs w:val="36"/>
          <w:rtl/>
          <w:lang w:bidi="ar-DZ"/>
        </w:rPr>
        <w:t>َ</w:t>
      </w:r>
      <w:r w:rsidRPr="007F6E44">
        <w:rPr>
          <w:rFonts w:eastAsia="Calibri" w:cs="Traditional Arabic"/>
          <w:sz w:val="36"/>
          <w:szCs w:val="36"/>
          <w:rtl/>
          <w:lang w:bidi="ar-DZ"/>
        </w:rPr>
        <w:t xml:space="preserve"> السامعين من ذلك أشد</w:t>
      </w:r>
      <w:r w:rsidRPr="007F6E44">
        <w:rPr>
          <w:rFonts w:eastAsia="Calibri" w:cs="Traditional Arabic" w:hint="cs"/>
          <w:sz w:val="36"/>
          <w:szCs w:val="36"/>
          <w:rtl/>
          <w:lang w:bidi="ar-DZ"/>
        </w:rPr>
        <w:t>ّ</w:t>
      </w:r>
      <w:r w:rsidRPr="007F6E44">
        <w:rPr>
          <w:rFonts w:eastAsia="Calibri" w:cs="Traditional Arabic"/>
          <w:sz w:val="36"/>
          <w:szCs w:val="36"/>
          <w:rtl/>
          <w:lang w:bidi="ar-DZ"/>
        </w:rPr>
        <w:t xml:space="preserve"> وتعجبهم به أكثر، والناس موكلون بتعظيم الغريب، واستطراف البديع"</w:t>
      </w:r>
      <w:r w:rsidRPr="00902616">
        <w:rPr>
          <w:rFonts w:ascii="Times New Roman" w:hAnsi="Times New Roman" w:cs="Traditional Arabic"/>
          <w:sz w:val="36"/>
          <w:szCs w:val="36"/>
          <w:vertAlign w:val="superscript"/>
          <w:rtl/>
          <w:lang w:bidi="ar-DZ"/>
        </w:rPr>
        <w:t>(</w:t>
      </w:r>
      <w:r w:rsidRPr="00902616">
        <w:rPr>
          <w:rFonts w:ascii="Times New Roman" w:hAnsi="Times New Roman" w:cs="Traditional Arabic"/>
          <w:sz w:val="36"/>
          <w:szCs w:val="36"/>
          <w:vertAlign w:val="superscript"/>
          <w:rtl/>
          <w:lang w:bidi="ar-DZ"/>
        </w:rPr>
        <w:footnoteReference w:id="6"/>
      </w:r>
      <w:r w:rsidRPr="00902616">
        <w:rPr>
          <w:rFonts w:ascii="Times New Roman" w:hAnsi="Times New Roman" w:cs="Traditional Arabic"/>
          <w:sz w:val="36"/>
          <w:szCs w:val="36"/>
          <w:vertAlign w:val="superscript"/>
          <w:rtl/>
          <w:lang w:bidi="ar-DZ"/>
        </w:rPr>
        <w:t>)</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العجائبي عرف في الثقافة العربية الإسلامية انفتاحا على حقول معرفية متعددة وارتباطا بالمستوى العقائدي، لأن "حضور العجائبي المرتبط بالديني يظل مهيمنا لاعتبارات شتى منها هيمنة النّصوص الرحلية الحجية والزيارية</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وتأثير الوعي الديني والمعجزات وارتباط الرحّالة بهذا الفضاء واعتمالاته سواء كان الرحّالة فقيهًا أو متصوَّفًا أو متأثرًا".</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ولقد أشار محمد أركون أن لفظة "عجيب" لا تخرج عن سياقها القرآني، ويلاحظ "في الإسلام، مثلما في المسيحية أن الفكر الديني، الأورثوذكسي، وعقلانية النُّ</w:t>
      </w:r>
      <w:r w:rsidRPr="007F6E44">
        <w:rPr>
          <w:rFonts w:eastAsia="Calibri" w:cs="Traditional Arabic" w:hint="cs"/>
          <w:sz w:val="36"/>
          <w:szCs w:val="36"/>
          <w:rtl/>
          <w:lang w:bidi="ar-DZ"/>
        </w:rPr>
        <w:t>خب</w:t>
      </w:r>
      <w:r w:rsidRPr="007F6E44">
        <w:rPr>
          <w:rFonts w:eastAsia="Calibri" w:cs="Traditional Arabic"/>
          <w:sz w:val="36"/>
          <w:szCs w:val="36"/>
          <w:rtl/>
          <w:lang w:bidi="ar-DZ"/>
        </w:rPr>
        <w:t xml:space="preserve"> نجحا في كبت العجيب في المعتقدات والآداب الشعبية، أي في مستوى النشاط الثقافي الدوني، حصة الأطفال والجدّات والشعوب المتأخرة</w:t>
      </w:r>
      <w:r w:rsidRPr="00902616">
        <w:rPr>
          <w:rFonts w:ascii="Times New Roman" w:hAnsi="Times New Roman" w:cs="Traditional Arabic"/>
          <w:sz w:val="36"/>
          <w:szCs w:val="36"/>
          <w:vertAlign w:val="superscript"/>
          <w:rtl/>
          <w:lang w:bidi="ar-DZ"/>
        </w:rPr>
        <w:t>(</w:t>
      </w:r>
      <w:r w:rsidRPr="00902616">
        <w:rPr>
          <w:rFonts w:ascii="Times New Roman" w:hAnsi="Times New Roman" w:cs="Traditional Arabic"/>
          <w:sz w:val="36"/>
          <w:szCs w:val="36"/>
          <w:vertAlign w:val="superscript"/>
          <w:rtl/>
          <w:lang w:bidi="ar-DZ"/>
        </w:rPr>
        <w:footnoteReference w:id="7"/>
      </w:r>
      <w:r w:rsidRPr="00902616">
        <w:rPr>
          <w:rFonts w:ascii="Times New Roman" w:hAnsi="Times New Roman" w:cs="Traditional Arabic"/>
          <w:sz w:val="36"/>
          <w:szCs w:val="36"/>
          <w:vertAlign w:val="superscript"/>
          <w:rtl/>
          <w:lang w:bidi="ar-DZ"/>
        </w:rPr>
        <w:t>)</w:t>
      </w:r>
      <w:r w:rsidRPr="007F6E44">
        <w:rPr>
          <w:rFonts w:eastAsia="Calibri" w:cs="Traditional Arabic"/>
          <w:sz w:val="36"/>
          <w:szCs w:val="36"/>
          <w:rtl/>
          <w:lang w:bidi="ar-DZ"/>
        </w:rPr>
        <w:t>"، عُ</w:t>
      </w:r>
      <w:r w:rsidRPr="007F6E44">
        <w:rPr>
          <w:rFonts w:eastAsia="Calibri" w:cs="Traditional Arabic" w:hint="cs"/>
          <w:sz w:val="36"/>
          <w:szCs w:val="36"/>
          <w:rtl/>
          <w:lang w:bidi="ar-DZ"/>
        </w:rPr>
        <w:t>و</w:t>
      </w:r>
      <w:r w:rsidRPr="007F6E44">
        <w:rPr>
          <w:rFonts w:eastAsia="Calibri" w:cs="Traditional Arabic"/>
          <w:sz w:val="36"/>
          <w:szCs w:val="36"/>
          <w:rtl/>
          <w:lang w:bidi="ar-DZ"/>
        </w:rPr>
        <w:t>مِلَ العجيب بدونية باعتباره لا يخدم المقولات العامة المهيمنة</w:t>
      </w:r>
      <w:r w:rsidRPr="007F6E44">
        <w:rPr>
          <w:rFonts w:eastAsia="Calibri" w:cs="Traditional Arabic" w:hint="cs"/>
          <w:sz w:val="36"/>
          <w:szCs w:val="36"/>
          <w:rtl/>
          <w:lang w:bidi="ar-DZ"/>
        </w:rPr>
        <w:t>.</w:t>
      </w:r>
      <w:r w:rsidRPr="007F6E44">
        <w:rPr>
          <w:rFonts w:eastAsia="Calibri" w:cs="Traditional Arabic"/>
          <w:sz w:val="36"/>
          <w:szCs w:val="36"/>
          <w:rtl/>
          <w:lang w:bidi="ar-DZ"/>
        </w:rPr>
        <w:t xml:space="preserve"> ولأن العجيب في التراث العربي يشتغل بالطريقة نفس</w:t>
      </w:r>
      <w:r w:rsidRPr="007F6E44">
        <w:rPr>
          <w:rFonts w:eastAsia="Calibri" w:cs="Traditional Arabic" w:hint="cs"/>
          <w:sz w:val="36"/>
          <w:szCs w:val="36"/>
          <w:rtl/>
          <w:lang w:bidi="ar-DZ"/>
        </w:rPr>
        <w:t xml:space="preserve">ها </w:t>
      </w:r>
      <w:r w:rsidRPr="007F6E44">
        <w:rPr>
          <w:rFonts w:eastAsia="Calibri" w:cs="Traditional Arabic"/>
          <w:sz w:val="36"/>
          <w:szCs w:val="36"/>
          <w:rtl/>
          <w:lang w:bidi="ar-DZ"/>
        </w:rPr>
        <w:t>في أغلب النّصوص</w:t>
      </w:r>
      <w:r w:rsidRPr="007F6E44">
        <w:rPr>
          <w:rFonts w:eastAsia="Calibri" w:cs="Traditional Arabic" w:hint="cs"/>
          <w:sz w:val="36"/>
          <w:szCs w:val="36"/>
          <w:rtl/>
          <w:lang w:bidi="ar-DZ"/>
        </w:rPr>
        <w:t>، ف</w:t>
      </w:r>
      <w:r w:rsidRPr="007F6E44">
        <w:rPr>
          <w:rFonts w:eastAsia="Calibri" w:cs="Traditional Arabic"/>
          <w:sz w:val="36"/>
          <w:szCs w:val="36"/>
          <w:rtl/>
          <w:lang w:bidi="ar-DZ"/>
        </w:rPr>
        <w:t>هو يحقق أهدافا جمالية ونفسية</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إذ يتيح منفذًا إلى الراحة والطمأنينة واللذة والوفرة.</w:t>
      </w:r>
    </w:p>
    <w:p w:rsidR="009B7327" w:rsidRPr="007F6E44" w:rsidRDefault="009B7327" w:rsidP="009B7327">
      <w:pPr>
        <w:bidi/>
        <w:spacing w:after="0" w:line="264" w:lineRule="auto"/>
        <w:ind w:firstLine="708"/>
        <w:jc w:val="both"/>
        <w:rPr>
          <w:rFonts w:eastAsia="Calibri" w:cs="Traditional Arabic"/>
          <w:sz w:val="36"/>
          <w:szCs w:val="36"/>
          <w:rtl/>
          <w:lang w:bidi="ar-DZ"/>
        </w:rPr>
      </w:pPr>
      <w:r w:rsidRPr="007F6E44">
        <w:rPr>
          <w:rFonts w:eastAsia="Calibri" w:cs="Traditional Arabic"/>
          <w:sz w:val="36"/>
          <w:szCs w:val="36"/>
          <w:rtl/>
          <w:lang w:bidi="ar-DZ"/>
        </w:rPr>
        <w:t>إذا أردنا المقارنة بين مفهوم محمد أركون</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ومفهوم الأوائل</w:t>
      </w:r>
      <w:r w:rsidRPr="007F6E44">
        <w:rPr>
          <w:rFonts w:eastAsia="Calibri" w:cs="Traditional Arabic" w:hint="cs"/>
          <w:sz w:val="36"/>
          <w:szCs w:val="36"/>
          <w:rtl/>
          <w:lang w:bidi="ar-DZ"/>
        </w:rPr>
        <w:t xml:space="preserve">، </w:t>
      </w:r>
      <w:r w:rsidRPr="007F6E44">
        <w:rPr>
          <w:rFonts w:eastAsia="Calibri" w:cs="Traditional Arabic"/>
          <w:sz w:val="36"/>
          <w:szCs w:val="36"/>
          <w:rtl/>
          <w:lang w:bidi="ar-DZ"/>
        </w:rPr>
        <w:t xml:space="preserve">ألا يمكنا القول أن العجيب في التفكير العربي هو الحيرة التي تستبد بالإنسان بسبب عدم قدرته على معرفة علّة الشيء أو سببه أو </w:t>
      </w:r>
      <w:r w:rsidRPr="007F6E44">
        <w:rPr>
          <w:rFonts w:eastAsia="Calibri" w:cs="Traditional Arabic"/>
          <w:sz w:val="36"/>
          <w:szCs w:val="36"/>
          <w:rtl/>
          <w:lang w:bidi="ar-DZ"/>
        </w:rPr>
        <w:lastRenderedPageBreak/>
        <w:t>الطريقة التي ينبغي إتباعها للتأثير فيه، هذا العجيب الذي ينتهي بالاندهاش والإعجاب به بسبب الألفة والرؤية المتكررة، وما يعتبر عجائبي</w:t>
      </w:r>
      <w:r w:rsidRPr="007F6E44">
        <w:rPr>
          <w:rFonts w:eastAsia="Calibri" w:cs="Traditional Arabic" w:hint="cs"/>
          <w:sz w:val="36"/>
          <w:szCs w:val="36"/>
          <w:rtl/>
          <w:lang w:bidi="ar-DZ"/>
        </w:rPr>
        <w:t>ا</w:t>
      </w:r>
      <w:r w:rsidRPr="007F6E44">
        <w:rPr>
          <w:rFonts w:eastAsia="Calibri" w:cs="Traditional Arabic"/>
          <w:sz w:val="36"/>
          <w:szCs w:val="36"/>
          <w:rtl/>
          <w:lang w:bidi="ar-DZ"/>
        </w:rPr>
        <w:t xml:space="preserve"> اليوم تزول عنه هذه الصفة بمرور الوقت</w:t>
      </w:r>
      <w:r w:rsidRPr="00902616">
        <w:rPr>
          <w:rFonts w:ascii="Times New Roman" w:hAnsi="Times New Roman" w:cs="Traditional Arabic"/>
          <w:sz w:val="36"/>
          <w:szCs w:val="36"/>
          <w:vertAlign w:val="superscript"/>
          <w:rtl/>
          <w:lang w:bidi="ar-DZ"/>
        </w:rPr>
        <w:t>(</w:t>
      </w:r>
      <w:r w:rsidRPr="00902616">
        <w:rPr>
          <w:rFonts w:ascii="Times New Roman" w:hAnsi="Times New Roman" w:cs="Traditional Arabic"/>
          <w:sz w:val="36"/>
          <w:szCs w:val="36"/>
          <w:vertAlign w:val="superscript"/>
          <w:rtl/>
          <w:lang w:bidi="ar-DZ"/>
        </w:rPr>
        <w:footnoteReference w:id="8"/>
      </w:r>
      <w:r w:rsidRPr="00902616">
        <w:rPr>
          <w:rFonts w:ascii="Times New Roman" w:hAnsi="Times New Roman" w:cs="Traditional Arabic"/>
          <w:sz w:val="36"/>
          <w:szCs w:val="36"/>
          <w:vertAlign w:val="superscript"/>
          <w:rtl/>
          <w:lang w:bidi="ar-DZ"/>
        </w:rPr>
        <w:t>)</w:t>
      </w:r>
      <w:r w:rsidRPr="007F6E44">
        <w:rPr>
          <w:rFonts w:eastAsia="Calibri" w:cs="Traditional Arabic"/>
          <w:sz w:val="36"/>
          <w:szCs w:val="36"/>
          <w:rtl/>
          <w:lang w:bidi="ar-DZ"/>
        </w:rPr>
        <w:t xml:space="preserve">. </w:t>
      </w:r>
    </w:p>
    <w:p w:rsidR="009B7327" w:rsidRPr="00433DDB" w:rsidRDefault="009B7327" w:rsidP="009B7327">
      <w:pPr>
        <w:bidi/>
        <w:spacing w:after="0" w:line="264" w:lineRule="auto"/>
        <w:jc w:val="both"/>
        <w:rPr>
          <w:rFonts w:asciiTheme="majorBidi" w:hAnsiTheme="majorBidi" w:cs="Traditional Arabic"/>
          <w:b/>
          <w:bCs/>
          <w:sz w:val="36"/>
          <w:szCs w:val="36"/>
        </w:rPr>
      </w:pPr>
      <w:r>
        <w:rPr>
          <w:rFonts w:asciiTheme="majorBidi" w:hAnsiTheme="majorBidi" w:cs="Traditional Arabic" w:hint="cs"/>
          <w:b/>
          <w:bCs/>
          <w:sz w:val="36"/>
          <w:szCs w:val="36"/>
          <w:rtl/>
        </w:rPr>
        <w:t xml:space="preserve">1- </w:t>
      </w:r>
      <w:r w:rsidRPr="00433DDB">
        <w:rPr>
          <w:rFonts w:asciiTheme="majorBidi" w:hAnsiTheme="majorBidi" w:cs="Traditional Arabic"/>
          <w:b/>
          <w:bCs/>
          <w:sz w:val="36"/>
          <w:szCs w:val="36"/>
          <w:rtl/>
        </w:rPr>
        <w:t>تمظهر العجائبي في النصوص السردية القديمة:</w:t>
      </w:r>
    </w:p>
    <w:p w:rsidR="009B7327" w:rsidRPr="007F6E44" w:rsidRDefault="009B7327" w:rsidP="009B7327">
      <w:pPr>
        <w:bidi/>
        <w:spacing w:after="0" w:line="264" w:lineRule="auto"/>
        <w:ind w:left="-1" w:firstLine="141"/>
        <w:jc w:val="both"/>
        <w:rPr>
          <w:rFonts w:asciiTheme="majorBidi" w:hAnsiTheme="majorBidi" w:cs="Traditional Arabic"/>
          <w:sz w:val="36"/>
          <w:szCs w:val="36"/>
          <w:rtl/>
        </w:rPr>
      </w:pPr>
      <w:r w:rsidRPr="007F6E44">
        <w:rPr>
          <w:rFonts w:asciiTheme="majorBidi" w:hAnsiTheme="majorBidi" w:cs="Traditional Arabic"/>
          <w:sz w:val="36"/>
          <w:szCs w:val="36"/>
          <w:rtl/>
        </w:rPr>
        <w:t>إن مجيء الإسلام، أضفى على العقلية العربية نوعا من الواقعية، إذ حاول وبشتى الطرق محو الكثير من المعتقدات التي كانت سائدة في شبه الجزيرة العربية معتبرا إياها أباطيل وأساطير الأولين، ومما يشوش على العامة عقائدهم</w:t>
      </w:r>
    </w:p>
    <w:p w:rsidR="009B7327" w:rsidRPr="007F6E44" w:rsidRDefault="009B7327" w:rsidP="009B7327">
      <w:pPr>
        <w:bidi/>
        <w:spacing w:after="0" w:line="264" w:lineRule="auto"/>
        <w:ind w:left="-1"/>
        <w:jc w:val="both"/>
        <w:rPr>
          <w:rFonts w:asciiTheme="majorBidi" w:hAnsiTheme="majorBidi" w:cs="Traditional Arabic"/>
          <w:sz w:val="36"/>
          <w:szCs w:val="36"/>
        </w:rPr>
      </w:pPr>
      <w:r w:rsidRPr="007F6E44">
        <w:rPr>
          <w:rFonts w:asciiTheme="majorBidi" w:hAnsiTheme="majorBidi" w:cs="Traditional Arabic"/>
          <w:b/>
          <w:bCs/>
          <w:sz w:val="36"/>
          <w:szCs w:val="36"/>
          <w:rtl/>
        </w:rPr>
        <w:t>1</w:t>
      </w:r>
      <w:r w:rsidRPr="007F6E44">
        <w:rPr>
          <w:rFonts w:asciiTheme="majorBidi" w:hAnsiTheme="majorBidi" w:cs="Traditional Arabic" w:hint="cs"/>
          <w:b/>
          <w:bCs/>
          <w:sz w:val="36"/>
          <w:szCs w:val="36"/>
          <w:rtl/>
        </w:rPr>
        <w:t>-</w:t>
      </w:r>
      <w:r>
        <w:rPr>
          <w:rFonts w:asciiTheme="majorBidi" w:hAnsiTheme="majorBidi" w:cs="Traditional Arabic" w:hint="cs"/>
          <w:b/>
          <w:bCs/>
          <w:sz w:val="36"/>
          <w:szCs w:val="36"/>
          <w:rtl/>
        </w:rPr>
        <w:t>1</w:t>
      </w:r>
      <w:r w:rsidRPr="007F6E44">
        <w:rPr>
          <w:rFonts w:asciiTheme="majorBidi" w:hAnsiTheme="majorBidi" w:cs="Traditional Arabic"/>
          <w:b/>
          <w:bCs/>
          <w:sz w:val="36"/>
          <w:szCs w:val="36"/>
          <w:rtl/>
        </w:rPr>
        <w:t xml:space="preserve"> الحكايات الشعبية: </w:t>
      </w:r>
      <w:r>
        <w:rPr>
          <w:rFonts w:asciiTheme="majorBidi" w:hAnsiTheme="majorBidi" w:cs="Traditional Arabic" w:hint="cs"/>
          <w:sz w:val="36"/>
          <w:szCs w:val="36"/>
          <w:rtl/>
        </w:rPr>
        <w:t>حيث ان</w:t>
      </w:r>
      <w:r w:rsidRPr="007F6E44">
        <w:rPr>
          <w:rFonts w:asciiTheme="majorBidi" w:hAnsiTheme="majorBidi" w:cs="Traditional Arabic"/>
          <w:sz w:val="36"/>
          <w:szCs w:val="36"/>
          <w:rtl/>
        </w:rPr>
        <w:t xml:space="preserve">عد من أشهر </w:t>
      </w:r>
      <w:r>
        <w:rPr>
          <w:rFonts w:asciiTheme="majorBidi" w:hAnsiTheme="majorBidi" w:cs="Traditional Arabic" w:hint="cs"/>
          <w:sz w:val="36"/>
          <w:szCs w:val="36"/>
          <w:rtl/>
        </w:rPr>
        <w:t xml:space="preserve">مكونات </w:t>
      </w:r>
      <w:r w:rsidRPr="007F6E44">
        <w:rPr>
          <w:rFonts w:asciiTheme="majorBidi" w:hAnsiTheme="majorBidi" w:cs="Traditional Arabic"/>
          <w:sz w:val="36"/>
          <w:szCs w:val="36"/>
          <w:rtl/>
        </w:rPr>
        <w:t>الكتب ذات الطابع الشعبي والبنية التعجبية؛ حيث يقوم على وصف عوامل فوق طبيعية داخل عالم طبيعي مألوف وشخوص يتخذون هيئات كثيرة، أي يطالهم الامتساخ والتحول. مما يدعو إلى الحيرة والتردد في نفس المتلقي.</w:t>
      </w:r>
    </w:p>
    <w:p w:rsidR="009B7327" w:rsidRPr="007F6E44" w:rsidRDefault="009B7327" w:rsidP="009B7327">
      <w:pPr>
        <w:pStyle w:val="Paragraphedeliste"/>
        <w:bidi/>
        <w:spacing w:after="0" w:line="264" w:lineRule="auto"/>
        <w:ind w:left="-1"/>
        <w:jc w:val="both"/>
        <w:rPr>
          <w:rFonts w:asciiTheme="majorBidi" w:hAnsiTheme="majorBidi" w:cs="Traditional Arabic"/>
          <w:sz w:val="36"/>
          <w:szCs w:val="36"/>
          <w:vertAlign w:val="superscript"/>
        </w:rPr>
      </w:pPr>
      <w:r>
        <w:rPr>
          <w:rFonts w:asciiTheme="majorBidi" w:hAnsiTheme="majorBidi" w:cs="Traditional Arabic" w:hint="cs"/>
          <w:b/>
          <w:bCs/>
          <w:sz w:val="36"/>
          <w:szCs w:val="36"/>
          <w:rtl/>
        </w:rPr>
        <w:t>1-2</w:t>
      </w:r>
      <w:r w:rsidRPr="007F6E44">
        <w:rPr>
          <w:rFonts w:asciiTheme="majorBidi" w:hAnsiTheme="majorBidi" w:cs="Traditional Arabic"/>
          <w:b/>
          <w:bCs/>
          <w:sz w:val="36"/>
          <w:szCs w:val="36"/>
          <w:rtl/>
        </w:rPr>
        <w:t xml:space="preserve"> السير الشعبية: </w:t>
      </w:r>
      <w:r w:rsidRPr="007F6E44">
        <w:rPr>
          <w:rFonts w:asciiTheme="majorBidi" w:hAnsiTheme="majorBidi" w:cs="Traditional Arabic"/>
          <w:sz w:val="36"/>
          <w:szCs w:val="36"/>
          <w:rtl/>
        </w:rPr>
        <w:t>أهم السيّر: سيرة عشرة بن شداد</w:t>
      </w:r>
      <w:r>
        <w:rPr>
          <w:rFonts w:asciiTheme="majorBidi" w:hAnsiTheme="majorBidi" w:cs="Traditional Arabic" w:hint="cs"/>
          <w:sz w:val="36"/>
          <w:szCs w:val="36"/>
          <w:rtl/>
        </w:rPr>
        <w:t>،</w:t>
      </w:r>
      <w:r w:rsidRPr="007F6E44">
        <w:rPr>
          <w:rFonts w:asciiTheme="majorBidi" w:hAnsiTheme="majorBidi" w:cs="Traditional Arabic"/>
          <w:sz w:val="36"/>
          <w:szCs w:val="36"/>
          <w:rtl/>
        </w:rPr>
        <w:t xml:space="preserve"> وسيف بن ذي يزن، الأميرة ذات الهمة...إلخ، بالإضافة إلى العدد الذي لا يحصى من السير الأخرى والشخصيات الأسطورية التي أثرت الخيال العربي وميَّزت دروبه، ودلت على «عظمة هذا الأدب الذي تنتمي إليه وكذا إنسانيته»</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9"/>
      </w:r>
      <w:r w:rsidRPr="007F6E44">
        <w:rPr>
          <w:rFonts w:cs="Traditional Arabic" w:hint="cs"/>
          <w:sz w:val="36"/>
          <w:szCs w:val="36"/>
          <w:vertAlign w:val="superscript"/>
          <w:rtl/>
          <w:lang w:bidi="ar-DZ"/>
        </w:rPr>
        <w:t>)</w:t>
      </w:r>
      <w:r w:rsidRPr="007F6E44">
        <w:rPr>
          <w:rFonts w:asciiTheme="majorBidi" w:hAnsiTheme="majorBidi" w:cs="Traditional Arabic"/>
          <w:sz w:val="36"/>
          <w:szCs w:val="36"/>
          <w:rtl/>
        </w:rPr>
        <w:t>.</w:t>
      </w:r>
    </w:p>
    <w:p w:rsidR="009B7327" w:rsidRPr="007F6E44" w:rsidRDefault="009B7327" w:rsidP="009B7327">
      <w:pPr>
        <w:pStyle w:val="Paragraphedeliste"/>
        <w:bidi/>
        <w:spacing w:after="0" w:line="264" w:lineRule="auto"/>
        <w:ind w:left="-1"/>
        <w:jc w:val="both"/>
        <w:rPr>
          <w:rFonts w:asciiTheme="majorBidi" w:hAnsiTheme="majorBidi" w:cs="Traditional Arabic"/>
          <w:sz w:val="36"/>
          <w:szCs w:val="36"/>
        </w:rPr>
      </w:pPr>
      <w:r>
        <w:rPr>
          <w:rFonts w:asciiTheme="majorBidi" w:hAnsiTheme="majorBidi" w:cs="Traditional Arabic" w:hint="cs"/>
          <w:b/>
          <w:bCs/>
          <w:sz w:val="36"/>
          <w:szCs w:val="36"/>
          <w:rtl/>
        </w:rPr>
        <w:t>1-3</w:t>
      </w:r>
      <w:r w:rsidRPr="007F6E44">
        <w:rPr>
          <w:rFonts w:asciiTheme="majorBidi" w:hAnsiTheme="majorBidi" w:cs="Traditional Arabic"/>
          <w:b/>
          <w:bCs/>
          <w:sz w:val="36"/>
          <w:szCs w:val="36"/>
          <w:rtl/>
        </w:rPr>
        <w:t xml:space="preserve"> كتب الفتوح والمغازي: </w:t>
      </w:r>
      <w:r w:rsidRPr="007F6E44">
        <w:rPr>
          <w:rFonts w:asciiTheme="majorBidi" w:hAnsiTheme="majorBidi" w:cs="Traditional Arabic"/>
          <w:sz w:val="36"/>
          <w:szCs w:val="36"/>
          <w:rtl/>
        </w:rPr>
        <w:t>وقد استمدت مادتها من تاريخ المسلمين إبان الفتوحات الإسلامية، وهي عبارة عن حكايات شعبية ذات أصول تاريخية، يتجاوز فيها الواقعي والعجائبي سواء على مستوى الأحداث أ</w:t>
      </w:r>
      <w:r>
        <w:rPr>
          <w:rFonts w:asciiTheme="majorBidi" w:hAnsiTheme="majorBidi" w:cs="Traditional Arabic" w:hint="cs"/>
          <w:sz w:val="36"/>
          <w:szCs w:val="36"/>
          <w:rtl/>
        </w:rPr>
        <w:t>م</w:t>
      </w:r>
      <w:r w:rsidRPr="007F6E44">
        <w:rPr>
          <w:rFonts w:asciiTheme="majorBidi" w:hAnsiTheme="majorBidi" w:cs="Traditional Arabic"/>
          <w:sz w:val="36"/>
          <w:szCs w:val="36"/>
          <w:rtl/>
        </w:rPr>
        <w:t xml:space="preserve"> الشخصيات، أ</w:t>
      </w:r>
      <w:r>
        <w:rPr>
          <w:rFonts w:asciiTheme="majorBidi" w:hAnsiTheme="majorBidi" w:cs="Traditional Arabic" w:hint="cs"/>
          <w:sz w:val="36"/>
          <w:szCs w:val="36"/>
          <w:rtl/>
        </w:rPr>
        <w:t>م</w:t>
      </w:r>
      <w:r w:rsidRPr="007F6E44">
        <w:rPr>
          <w:rFonts w:asciiTheme="majorBidi" w:hAnsiTheme="majorBidi" w:cs="Traditional Arabic"/>
          <w:sz w:val="36"/>
          <w:szCs w:val="36"/>
          <w:rtl/>
        </w:rPr>
        <w:t xml:space="preserve"> الزمان والمكان، الشيء الذي يعني أن المتخيل العربي الإسلامي ساهم بشكل كبير في صياغتها وإنتاجها.</w:t>
      </w:r>
    </w:p>
    <w:p w:rsidR="009B7327" w:rsidRPr="007F6E44" w:rsidRDefault="009B7327" w:rsidP="009B7327">
      <w:pPr>
        <w:bidi/>
        <w:spacing w:after="0" w:line="264" w:lineRule="auto"/>
        <w:ind w:left="-1"/>
        <w:jc w:val="both"/>
        <w:rPr>
          <w:rFonts w:asciiTheme="majorBidi" w:hAnsiTheme="majorBidi" w:cs="Traditional Arabic"/>
          <w:sz w:val="36"/>
          <w:szCs w:val="36"/>
          <w:rtl/>
          <w:lang w:bidi="ar-DZ"/>
        </w:rPr>
      </w:pPr>
      <w:r w:rsidRPr="007448E7">
        <w:rPr>
          <w:rFonts w:asciiTheme="majorBidi" w:hAnsiTheme="majorBidi" w:cs="Traditional Arabic"/>
          <w:sz w:val="36"/>
          <w:szCs w:val="36"/>
          <w:rtl/>
        </w:rPr>
        <w:t>نذكر على سبيل التمثيل: غزوة وادي السيسبان التي تحكي جانبا من سيرة علي بن أبي طالب - رضي الله عنه- ومغامراته في هذا الوادي، والتي كان للبعد العجائبي جليا فيها ذلك أن طي الأرض وانمحاء المسافات الزمانية والمكانية يحضر بشكل كبير في هذه الغزوة.</w:t>
      </w:r>
      <w:r w:rsidRPr="007448E7">
        <w:rPr>
          <w:rStyle w:val="Appelnotedebasdep"/>
          <w:rFonts w:asciiTheme="majorBidi" w:hAnsiTheme="majorBidi" w:cs="Traditional Arabic"/>
          <w:sz w:val="36"/>
          <w:szCs w:val="36"/>
          <w:rtl/>
          <w:lang w:bidi="ar-DZ"/>
        </w:rPr>
        <w:footnoteReference w:customMarkFollows="1" w:id="10"/>
        <w:t>*</w:t>
      </w:r>
    </w:p>
    <w:p w:rsidR="009B7327" w:rsidRPr="007F6E44" w:rsidRDefault="009B7327" w:rsidP="009B7327">
      <w:pPr>
        <w:pStyle w:val="Paragraphedeliste"/>
        <w:bidi/>
        <w:spacing w:after="0" w:line="264" w:lineRule="auto"/>
        <w:ind w:left="-1"/>
        <w:jc w:val="both"/>
        <w:rPr>
          <w:rFonts w:asciiTheme="majorBidi" w:hAnsiTheme="majorBidi" w:cs="Traditional Arabic"/>
          <w:b/>
          <w:bCs/>
          <w:sz w:val="36"/>
          <w:szCs w:val="36"/>
          <w:rtl/>
        </w:rPr>
      </w:pPr>
      <w:r>
        <w:rPr>
          <w:rFonts w:asciiTheme="majorBidi" w:hAnsiTheme="majorBidi" w:cs="Traditional Arabic" w:hint="cs"/>
          <w:b/>
          <w:bCs/>
          <w:sz w:val="36"/>
          <w:szCs w:val="36"/>
          <w:rtl/>
        </w:rPr>
        <w:lastRenderedPageBreak/>
        <w:t>1-4</w:t>
      </w:r>
      <w:r w:rsidRPr="007F6E44">
        <w:rPr>
          <w:rFonts w:asciiTheme="majorBidi" w:hAnsiTheme="majorBidi" w:cs="Traditional Arabic" w:hint="cs"/>
          <w:b/>
          <w:bCs/>
          <w:sz w:val="36"/>
          <w:szCs w:val="36"/>
          <w:rtl/>
        </w:rPr>
        <w:t xml:space="preserve"> </w:t>
      </w:r>
      <w:r w:rsidRPr="007F6E44">
        <w:rPr>
          <w:rFonts w:asciiTheme="majorBidi" w:hAnsiTheme="majorBidi" w:cs="Traditional Arabic"/>
          <w:b/>
          <w:bCs/>
          <w:sz w:val="36"/>
          <w:szCs w:val="36"/>
          <w:rtl/>
        </w:rPr>
        <w:t>كتب الصوفية:</w:t>
      </w:r>
    </w:p>
    <w:p w:rsidR="009B7327" w:rsidRPr="007F6E44" w:rsidRDefault="009B7327" w:rsidP="009B7327">
      <w:pPr>
        <w:bidi/>
        <w:spacing w:after="0" w:line="264" w:lineRule="auto"/>
        <w:ind w:left="-1" w:firstLine="709"/>
        <w:jc w:val="both"/>
        <w:rPr>
          <w:rFonts w:asciiTheme="majorBidi" w:hAnsiTheme="majorBidi" w:cs="Traditional Arabic"/>
          <w:sz w:val="36"/>
          <w:szCs w:val="36"/>
          <w:rtl/>
          <w:lang w:bidi="ar-DZ"/>
        </w:rPr>
      </w:pPr>
      <w:r w:rsidRPr="007F6E44">
        <w:rPr>
          <w:rFonts w:asciiTheme="majorBidi" w:hAnsiTheme="majorBidi" w:cs="Traditional Arabic"/>
          <w:sz w:val="36"/>
          <w:szCs w:val="36"/>
          <w:rtl/>
          <w:lang w:bidi="ar-DZ"/>
        </w:rPr>
        <w:t>لا ولاية إلا بكرامة فالكرامة، هي ما يبرر الولاية ويمنحها شرعية الا نوجاد، فالكرامة في اصطلاح أهل السنة هي الأمر الخارق للعادة، الذي يظهره الله على يدي عبد مومن صالح عمر مقرون بدعوى النبوة.</w:t>
      </w:r>
      <w:r w:rsidRPr="007F6E44">
        <w:rPr>
          <w:rFonts w:cs="Traditional Arabic" w:hint="cs"/>
          <w:sz w:val="36"/>
          <w:szCs w:val="36"/>
          <w:vertAlign w:val="superscript"/>
          <w:rtl/>
          <w:lang w:bidi="ar-DZ"/>
        </w:rPr>
        <w:t xml:space="preserve"> (</w:t>
      </w:r>
      <w:r w:rsidRPr="007F6E44">
        <w:rPr>
          <w:rStyle w:val="Appelnotedebasdep"/>
          <w:rFonts w:cs="Traditional Arabic"/>
          <w:sz w:val="36"/>
          <w:szCs w:val="36"/>
          <w:rtl/>
          <w:lang w:bidi="ar-DZ"/>
        </w:rPr>
        <w:footnoteReference w:id="11"/>
      </w:r>
      <w:r w:rsidRPr="007F6E44">
        <w:rPr>
          <w:rFonts w:cs="Traditional Arabic" w:hint="cs"/>
          <w:sz w:val="36"/>
          <w:szCs w:val="36"/>
          <w:vertAlign w:val="superscript"/>
          <w:rtl/>
          <w:lang w:bidi="ar-DZ"/>
        </w:rPr>
        <w:t>)</w:t>
      </w:r>
    </w:p>
    <w:p w:rsidR="009B7327" w:rsidRPr="007F6E44" w:rsidRDefault="009B7327" w:rsidP="009B7327">
      <w:pPr>
        <w:bidi/>
        <w:spacing w:after="0" w:line="264" w:lineRule="auto"/>
        <w:ind w:left="-1" w:firstLine="709"/>
        <w:jc w:val="both"/>
        <w:rPr>
          <w:rFonts w:asciiTheme="majorBidi" w:hAnsiTheme="majorBidi" w:cs="Traditional Arabic"/>
          <w:sz w:val="36"/>
          <w:szCs w:val="36"/>
          <w:rtl/>
          <w:lang w:bidi="ar-DZ"/>
        </w:rPr>
      </w:pPr>
      <w:r w:rsidRPr="007F6E44">
        <w:rPr>
          <w:rFonts w:asciiTheme="majorBidi" w:hAnsiTheme="majorBidi" w:cs="Traditional Arabic"/>
          <w:sz w:val="36"/>
          <w:szCs w:val="36"/>
          <w:rtl/>
          <w:lang w:bidi="ar-DZ"/>
        </w:rPr>
        <w:t>وقد ذهب أهل السنة والجماعة من الفقهاء والأصوليين والمحدثين</w:t>
      </w:r>
      <w:r w:rsidRPr="009A0C39">
        <w:rPr>
          <w:rFonts w:asciiTheme="majorBidi" w:hAnsiTheme="majorBidi" w:cs="Traditional Arabic" w:hint="cs"/>
          <w:sz w:val="36"/>
          <w:szCs w:val="36"/>
          <w:vertAlign w:val="superscript"/>
          <w:rtl/>
          <w:lang w:bidi="ar-DZ"/>
        </w:rPr>
        <w:t>*</w:t>
      </w:r>
      <w:r w:rsidRPr="007F6E44">
        <w:rPr>
          <w:rStyle w:val="Appelnotedebasdep"/>
          <w:rFonts w:asciiTheme="majorBidi" w:hAnsiTheme="majorBidi" w:cs="Traditional Arabic"/>
          <w:sz w:val="36"/>
          <w:szCs w:val="36"/>
          <w:rtl/>
          <w:lang w:bidi="ar-DZ"/>
        </w:rPr>
        <w:footnoteReference w:customMarkFollows="1" w:id="12"/>
        <w:t>*</w:t>
      </w:r>
      <w:r w:rsidRPr="007F6E44">
        <w:rPr>
          <w:rFonts w:asciiTheme="majorBidi" w:hAnsiTheme="majorBidi" w:cs="Traditional Arabic"/>
          <w:sz w:val="36"/>
          <w:szCs w:val="36"/>
          <w:rtl/>
          <w:lang w:bidi="ar-DZ"/>
        </w:rPr>
        <w:t xml:space="preserve"> وغيرهم خلافا للمعتزلة ومن وافقهم إلى أن ظهور الكرامة على الأولياء جائز عقلا، لأنها من جملة الممكنات، وأنها واقعة نقلا مفيدا لليقين من جهة مجيء القرآن بها، ووقوع التواتر عليها قرنا بعد قرن وجيلا بعد جيل، وبعد ثبوت الوقوع لا حاجة إلى إثبات الجواز، قال ابن تيمية: وكرامات الأولياء حق باتفاق أهل </w:t>
      </w:r>
      <w:r w:rsidRPr="007F6E44">
        <w:rPr>
          <w:rFonts w:asciiTheme="majorBidi" w:hAnsiTheme="majorBidi" w:cs="Traditional Arabic" w:hint="cs"/>
          <w:sz w:val="36"/>
          <w:szCs w:val="36"/>
          <w:rtl/>
          <w:lang w:bidi="ar-DZ"/>
        </w:rPr>
        <w:t>الإسلام</w:t>
      </w:r>
      <w:r w:rsidRPr="007F6E44">
        <w:rPr>
          <w:rFonts w:asciiTheme="majorBidi" w:hAnsiTheme="majorBidi" w:cs="Traditional Arabic"/>
          <w:sz w:val="36"/>
          <w:szCs w:val="36"/>
          <w:rtl/>
          <w:lang w:bidi="ar-DZ"/>
        </w:rPr>
        <w:t xml:space="preserve"> والسنة والجماعة وقد دل عليها القرآن في غير موضع، والأحاديث الصحيحة والآثار المتواترة عن الصحابة والتابعين وغيرهم، وإنما أنكرها أهل البدع من المعتزلة والجهمية ومن تابعهم.</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13"/>
      </w:r>
      <w:r w:rsidRPr="007F6E44">
        <w:rPr>
          <w:rFonts w:cs="Traditional Arabic" w:hint="cs"/>
          <w:sz w:val="36"/>
          <w:szCs w:val="36"/>
          <w:vertAlign w:val="superscript"/>
          <w:rtl/>
          <w:lang w:bidi="ar-DZ"/>
        </w:rPr>
        <w:t>)</w:t>
      </w:r>
    </w:p>
    <w:p w:rsidR="009B7327" w:rsidRPr="007F6E44" w:rsidRDefault="009B7327" w:rsidP="009B7327">
      <w:pPr>
        <w:bidi/>
        <w:spacing w:after="0" w:line="264" w:lineRule="auto"/>
        <w:ind w:left="-1" w:firstLine="709"/>
        <w:jc w:val="both"/>
        <w:rPr>
          <w:rFonts w:asciiTheme="majorBidi" w:hAnsiTheme="majorBidi" w:cs="Traditional Arabic"/>
          <w:sz w:val="36"/>
          <w:szCs w:val="36"/>
          <w:rtl/>
          <w:lang w:bidi="ar-DZ"/>
        </w:rPr>
      </w:pPr>
      <w:r w:rsidRPr="007F6E44">
        <w:rPr>
          <w:rFonts w:asciiTheme="majorBidi" w:hAnsiTheme="majorBidi" w:cs="Traditional Arabic"/>
          <w:sz w:val="36"/>
          <w:szCs w:val="36"/>
          <w:rtl/>
          <w:lang w:bidi="ar-DZ"/>
        </w:rPr>
        <w:t xml:space="preserve">والكرامات إما حسية أو معنوية، </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14"/>
      </w:r>
      <w:r w:rsidRPr="007F6E44">
        <w:rPr>
          <w:rFonts w:cs="Traditional Arabic" w:hint="cs"/>
          <w:sz w:val="36"/>
          <w:szCs w:val="36"/>
          <w:vertAlign w:val="superscript"/>
          <w:rtl/>
          <w:lang w:bidi="ar-DZ"/>
        </w:rPr>
        <w:t>)</w:t>
      </w:r>
      <w:r w:rsidRPr="007F6E44">
        <w:rPr>
          <w:rFonts w:asciiTheme="majorBidi" w:hAnsiTheme="majorBidi" w:cs="Traditional Arabic"/>
          <w:sz w:val="36"/>
          <w:szCs w:val="36"/>
          <w:rtl/>
          <w:lang w:bidi="ar-DZ"/>
        </w:rPr>
        <w:t xml:space="preserve"> تصدر الأولى عن الجوارح أو أنها ذات صلة بها، وتتعلق الثانية بالعبادة وبالسلوك الصوفي، ومن كرامات الجوارح المستعملة في الطاعة المتجنبة للمعصية، ذكروا ما يلي:</w:t>
      </w:r>
    </w:p>
    <w:p w:rsidR="009B7327" w:rsidRPr="007F6E44" w:rsidRDefault="009B7327" w:rsidP="009B7327">
      <w:pPr>
        <w:bidi/>
        <w:spacing w:after="0" w:line="264" w:lineRule="auto"/>
        <w:ind w:left="-1"/>
        <w:jc w:val="both"/>
        <w:rPr>
          <w:rFonts w:asciiTheme="majorBidi" w:hAnsiTheme="majorBidi" w:cs="Traditional Arabic"/>
          <w:sz w:val="36"/>
          <w:szCs w:val="36"/>
          <w:rtl/>
          <w:lang w:bidi="ar-DZ"/>
        </w:rPr>
      </w:pPr>
      <w:r w:rsidRPr="007F6E44">
        <w:rPr>
          <w:rFonts w:asciiTheme="majorBidi" w:hAnsiTheme="majorBidi" w:cs="Traditional Arabic"/>
          <w:b/>
          <w:bCs/>
          <w:sz w:val="36"/>
          <w:szCs w:val="36"/>
          <w:rtl/>
          <w:lang w:bidi="ar-DZ"/>
        </w:rPr>
        <w:t xml:space="preserve">بالعين: </w:t>
      </w:r>
      <w:r w:rsidRPr="007F6E44">
        <w:rPr>
          <w:rFonts w:asciiTheme="majorBidi" w:hAnsiTheme="majorBidi" w:cs="Traditional Arabic"/>
          <w:sz w:val="36"/>
          <w:szCs w:val="36"/>
          <w:rtl/>
          <w:lang w:bidi="ar-DZ"/>
        </w:rPr>
        <w:t>رؤية الزائر فيل قدومه، على مسافة بعيدة ولو خلف حجاب كثيف.</w:t>
      </w:r>
    </w:p>
    <w:p w:rsidR="009B7327" w:rsidRPr="007F6E44" w:rsidRDefault="009B7327" w:rsidP="009B7327">
      <w:pPr>
        <w:bidi/>
        <w:spacing w:after="0" w:line="264" w:lineRule="auto"/>
        <w:ind w:left="-1"/>
        <w:jc w:val="both"/>
        <w:rPr>
          <w:rFonts w:asciiTheme="majorBidi" w:hAnsiTheme="majorBidi" w:cs="Traditional Arabic"/>
          <w:sz w:val="36"/>
          <w:szCs w:val="36"/>
          <w:rtl/>
          <w:lang w:bidi="ar-DZ"/>
        </w:rPr>
      </w:pPr>
      <w:r w:rsidRPr="007F6E44">
        <w:rPr>
          <w:rFonts w:asciiTheme="majorBidi" w:hAnsiTheme="majorBidi" w:cs="Traditional Arabic"/>
          <w:b/>
          <w:bCs/>
          <w:sz w:val="36"/>
          <w:szCs w:val="36"/>
          <w:rtl/>
          <w:lang w:bidi="ar-DZ"/>
        </w:rPr>
        <w:t xml:space="preserve">بالأذن: </w:t>
      </w:r>
      <w:r w:rsidRPr="007F6E44">
        <w:rPr>
          <w:rFonts w:asciiTheme="majorBidi" w:hAnsiTheme="majorBidi" w:cs="Traditional Arabic"/>
          <w:sz w:val="36"/>
          <w:szCs w:val="36"/>
          <w:rtl/>
          <w:lang w:bidi="ar-DZ"/>
        </w:rPr>
        <w:t>ويمكن أن يدخل في هذا الإطار سماع الأحياء والجمادات على السواء.</w:t>
      </w:r>
    </w:p>
    <w:p w:rsidR="009B7327" w:rsidRPr="007F6E44" w:rsidRDefault="009B7327" w:rsidP="009B7327">
      <w:pPr>
        <w:bidi/>
        <w:spacing w:after="0" w:line="264" w:lineRule="auto"/>
        <w:ind w:left="-1"/>
        <w:jc w:val="both"/>
        <w:rPr>
          <w:rFonts w:asciiTheme="majorBidi" w:hAnsiTheme="majorBidi" w:cs="Traditional Arabic"/>
          <w:sz w:val="36"/>
          <w:szCs w:val="36"/>
          <w:rtl/>
          <w:lang w:bidi="ar-DZ"/>
        </w:rPr>
      </w:pPr>
      <w:r w:rsidRPr="007F6E44">
        <w:rPr>
          <w:rFonts w:asciiTheme="majorBidi" w:hAnsiTheme="majorBidi" w:cs="Traditional Arabic"/>
          <w:b/>
          <w:bCs/>
          <w:sz w:val="36"/>
          <w:szCs w:val="36"/>
          <w:rtl/>
          <w:lang w:bidi="ar-DZ"/>
        </w:rPr>
        <w:t xml:space="preserve">باللسان: </w:t>
      </w:r>
      <w:r w:rsidRPr="007F6E44">
        <w:rPr>
          <w:rFonts w:asciiTheme="majorBidi" w:hAnsiTheme="majorBidi" w:cs="Traditional Arabic"/>
          <w:sz w:val="36"/>
          <w:szCs w:val="36"/>
          <w:rtl/>
          <w:lang w:bidi="ar-DZ"/>
        </w:rPr>
        <w:t>الجارحة التي تكلم بهما الملأ الأعلى، فكان لسانهم آية تدل عليهم.</w:t>
      </w:r>
    </w:p>
    <w:p w:rsidR="009B7327" w:rsidRPr="007F6E44" w:rsidRDefault="009B7327" w:rsidP="009B7327">
      <w:pPr>
        <w:bidi/>
        <w:spacing w:after="0" w:line="264" w:lineRule="auto"/>
        <w:ind w:left="-1"/>
        <w:jc w:val="both"/>
        <w:rPr>
          <w:rFonts w:asciiTheme="majorBidi" w:hAnsiTheme="majorBidi" w:cs="Traditional Arabic"/>
          <w:sz w:val="36"/>
          <w:szCs w:val="36"/>
          <w:rtl/>
          <w:lang w:bidi="ar-DZ"/>
        </w:rPr>
      </w:pPr>
      <w:r w:rsidRPr="007F6E44">
        <w:rPr>
          <w:rFonts w:asciiTheme="majorBidi" w:hAnsiTheme="majorBidi" w:cs="Traditional Arabic"/>
          <w:b/>
          <w:bCs/>
          <w:sz w:val="36"/>
          <w:szCs w:val="36"/>
          <w:rtl/>
          <w:lang w:bidi="ar-DZ"/>
        </w:rPr>
        <w:lastRenderedPageBreak/>
        <w:t xml:space="preserve">البطن: </w:t>
      </w:r>
      <w:r w:rsidRPr="007F6E44">
        <w:rPr>
          <w:rFonts w:asciiTheme="majorBidi" w:hAnsiTheme="majorBidi" w:cs="Traditional Arabic"/>
          <w:sz w:val="36"/>
          <w:szCs w:val="36"/>
          <w:rtl/>
          <w:lang w:bidi="ar-DZ"/>
        </w:rPr>
        <w:t>من كراماتها التحفظ في ألا يدخلها مكروه من طعام أو من شراب، والشبع بالقليل من الطعام وسهولة الإرتواء بالقطراة من الماء.</w:t>
      </w:r>
    </w:p>
    <w:p w:rsidR="009B7327" w:rsidRPr="007F6E44" w:rsidRDefault="009B7327" w:rsidP="009B7327">
      <w:pPr>
        <w:bidi/>
        <w:spacing w:after="0" w:line="264" w:lineRule="auto"/>
        <w:ind w:left="-1" w:firstLine="720"/>
        <w:jc w:val="both"/>
        <w:rPr>
          <w:rFonts w:asciiTheme="majorBidi" w:hAnsiTheme="majorBidi" w:cs="Traditional Arabic"/>
          <w:sz w:val="36"/>
          <w:szCs w:val="36"/>
          <w:rtl/>
          <w:lang w:bidi="ar-DZ"/>
        </w:rPr>
      </w:pPr>
      <w:r w:rsidRPr="007F6E44">
        <w:rPr>
          <w:rFonts w:asciiTheme="majorBidi" w:hAnsiTheme="majorBidi" w:cs="Traditional Arabic"/>
          <w:sz w:val="36"/>
          <w:szCs w:val="36"/>
          <w:rtl/>
          <w:lang w:bidi="ar-DZ"/>
        </w:rPr>
        <w:t>فالكرامة تتخذ صيغا شتى</w:t>
      </w:r>
      <w:r w:rsidRPr="00E94F56">
        <w:rPr>
          <w:rFonts w:asciiTheme="majorBidi" w:hAnsiTheme="majorBidi" w:cs="Traditional Arabic"/>
          <w:sz w:val="36"/>
          <w:szCs w:val="36"/>
          <w:rtl/>
          <w:lang w:bidi="ar-DZ"/>
        </w:rPr>
        <w:t>، تنبني على انحراف</w:t>
      </w:r>
      <w:r w:rsidRPr="007F6E44">
        <w:rPr>
          <w:rFonts w:asciiTheme="majorBidi" w:hAnsiTheme="majorBidi" w:cs="Traditional Arabic"/>
          <w:sz w:val="36"/>
          <w:szCs w:val="36"/>
          <w:rtl/>
          <w:lang w:bidi="ar-DZ"/>
        </w:rPr>
        <w:t xml:space="preserve"> العادة ومفارقتها للواقع والمعتاد، تماما كما هو الأمر بالنسبة لانفلاق البحر وجفافه، والمشي على الماء، وطي الطريق وانزواء الأرض، وكلام الجمادات والحيوانات، وإبراء العلل والصبر على الجوع، ورؤية المكان البعيد...</w:t>
      </w:r>
      <w:r w:rsidRPr="007F6E44">
        <w:rPr>
          <w:rFonts w:cs="Traditional Arabic" w:hint="cs"/>
          <w:sz w:val="36"/>
          <w:szCs w:val="36"/>
          <w:vertAlign w:val="superscript"/>
          <w:rtl/>
          <w:lang w:bidi="ar-DZ"/>
        </w:rPr>
        <w:t xml:space="preserve"> (</w:t>
      </w:r>
      <w:r w:rsidRPr="007F6E44">
        <w:rPr>
          <w:rStyle w:val="Appelnotedebasdep"/>
          <w:rFonts w:cs="Traditional Arabic"/>
          <w:sz w:val="36"/>
          <w:szCs w:val="36"/>
          <w:rtl/>
          <w:lang w:bidi="ar-DZ"/>
        </w:rPr>
        <w:footnoteReference w:id="15"/>
      </w:r>
      <w:r w:rsidRPr="007F6E44">
        <w:rPr>
          <w:rFonts w:cs="Traditional Arabic" w:hint="cs"/>
          <w:sz w:val="36"/>
          <w:szCs w:val="36"/>
          <w:vertAlign w:val="superscript"/>
          <w:rtl/>
          <w:lang w:bidi="ar-DZ"/>
        </w:rPr>
        <w:t>)</w:t>
      </w:r>
    </w:p>
    <w:p w:rsidR="009B7327" w:rsidRPr="007F6E44" w:rsidRDefault="009B7327" w:rsidP="009B7327">
      <w:pPr>
        <w:bidi/>
        <w:spacing w:after="0" w:line="264" w:lineRule="auto"/>
        <w:ind w:left="-1" w:firstLine="720"/>
        <w:jc w:val="both"/>
        <w:rPr>
          <w:rFonts w:asciiTheme="majorBidi" w:hAnsiTheme="majorBidi" w:cs="Traditional Arabic"/>
          <w:sz w:val="36"/>
          <w:szCs w:val="36"/>
          <w:rtl/>
          <w:lang w:bidi="ar-DZ"/>
        </w:rPr>
      </w:pPr>
      <w:r w:rsidRPr="007F6E44">
        <w:rPr>
          <w:rFonts w:asciiTheme="majorBidi" w:hAnsiTheme="majorBidi" w:cs="Traditional Arabic"/>
          <w:sz w:val="36"/>
          <w:szCs w:val="36"/>
          <w:rtl/>
          <w:lang w:bidi="ar-DZ"/>
        </w:rPr>
        <w:t>فالولي الصالح هو الأقدر على خرق العادي، وفقا لما تؤسسه الكرامة، وما يتقعد تاريخا عن طريق التواتر، فكل استعصاء للأمور يجد طريقه إلى الحل والتسيير على عتبات الزوايا أو الأضرحة، بل إن كل ما يحدث يمكن أن يتم (التدخل) فيه عن طريق سلطة الولاية وتأثيرات الكرامة، فالأولياء "يقدرون على تغيير مجرى الحوادث والأشياء، يشفون الأمراض المستعصية التي لا ينفع معها علاج طبي، ويروضون الحيوانات المفترسة ويصاحبون الجن".</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16"/>
      </w:r>
      <w:r w:rsidRPr="007F6E44">
        <w:rPr>
          <w:rFonts w:cs="Traditional Arabic" w:hint="cs"/>
          <w:sz w:val="36"/>
          <w:szCs w:val="36"/>
          <w:vertAlign w:val="superscript"/>
          <w:rtl/>
          <w:lang w:bidi="ar-DZ"/>
        </w:rPr>
        <w:t>)</w:t>
      </w:r>
    </w:p>
    <w:p w:rsidR="009B7327" w:rsidRPr="007F6E44" w:rsidRDefault="009B7327" w:rsidP="009B7327">
      <w:pPr>
        <w:bidi/>
        <w:spacing w:after="0" w:line="259" w:lineRule="auto"/>
        <w:ind w:firstLine="721"/>
        <w:jc w:val="both"/>
        <w:rPr>
          <w:rFonts w:asciiTheme="majorBidi" w:hAnsiTheme="majorBidi" w:cs="Traditional Arabic"/>
          <w:sz w:val="36"/>
          <w:szCs w:val="36"/>
          <w:lang w:bidi="ar-DZ"/>
        </w:rPr>
      </w:pPr>
      <w:r w:rsidRPr="007F6E44">
        <w:rPr>
          <w:rFonts w:asciiTheme="majorBidi" w:hAnsiTheme="majorBidi" w:cs="Traditional Arabic"/>
          <w:sz w:val="36"/>
          <w:szCs w:val="36"/>
          <w:rtl/>
          <w:lang w:bidi="ar-DZ"/>
        </w:rPr>
        <w:t>وهنا يصير الإبراء من الأمراض وشق الصدر وتعلم القرآن وحفظه، والمشي فوق الماء وطي الطريق وتظليلها، والطيران في الجو، وتحويل الرمل ذهبا، وما إلى ذلك من الخوارق التي عجت بها كتب الرحلات الزيارية، يصير هذا الكل الكراماتي موجبا للاعتراف بالفعالية الرمزية للولاية، مع ما يستنتج هذا الاعتراف من اعترافات أخرى بالنفوذ الروحي الذي يؤسس سلطا وعلاقات وأتباع.</w:t>
      </w:r>
    </w:p>
    <w:p w:rsidR="009B7327" w:rsidRDefault="009B7327" w:rsidP="009B7327">
      <w:pPr>
        <w:pStyle w:val="Paragraphedeliste"/>
        <w:bidi/>
        <w:spacing w:after="0" w:line="259" w:lineRule="auto"/>
        <w:ind w:left="0"/>
        <w:jc w:val="both"/>
        <w:rPr>
          <w:rFonts w:asciiTheme="majorBidi" w:hAnsiTheme="majorBidi" w:cs="Traditional Arabic"/>
          <w:b/>
          <w:bCs/>
          <w:sz w:val="36"/>
          <w:szCs w:val="36"/>
          <w:rtl/>
        </w:rPr>
      </w:pPr>
      <w:r>
        <w:rPr>
          <w:rFonts w:asciiTheme="majorBidi" w:hAnsiTheme="majorBidi" w:cs="Traditional Arabic" w:hint="cs"/>
          <w:b/>
          <w:bCs/>
          <w:sz w:val="36"/>
          <w:szCs w:val="36"/>
          <w:rtl/>
        </w:rPr>
        <w:t>1-5</w:t>
      </w:r>
      <w:r w:rsidRPr="007F6E44">
        <w:rPr>
          <w:rFonts w:asciiTheme="majorBidi" w:hAnsiTheme="majorBidi" w:cs="Traditional Arabic"/>
          <w:b/>
          <w:bCs/>
          <w:sz w:val="36"/>
          <w:szCs w:val="36"/>
          <w:rtl/>
        </w:rPr>
        <w:t xml:space="preserve"> الخطابات الأليغورية الرمزية:</w:t>
      </w:r>
    </w:p>
    <w:p w:rsidR="009B7327" w:rsidRPr="007F6E44" w:rsidRDefault="009B7327" w:rsidP="009B7327">
      <w:pPr>
        <w:pStyle w:val="Paragraphedeliste"/>
        <w:bidi/>
        <w:spacing w:after="0" w:line="259" w:lineRule="auto"/>
        <w:ind w:left="0" w:firstLine="709"/>
        <w:jc w:val="both"/>
        <w:rPr>
          <w:rFonts w:asciiTheme="majorBidi" w:hAnsiTheme="majorBidi" w:cs="Traditional Arabic"/>
          <w:sz w:val="36"/>
          <w:szCs w:val="36"/>
        </w:rPr>
      </w:pPr>
      <w:r w:rsidRPr="007F6E44">
        <w:rPr>
          <w:rFonts w:asciiTheme="majorBidi" w:hAnsiTheme="majorBidi" w:cs="Traditional Arabic"/>
          <w:b/>
          <w:bCs/>
          <w:sz w:val="36"/>
          <w:szCs w:val="36"/>
          <w:rtl/>
        </w:rPr>
        <w:t xml:space="preserve"> </w:t>
      </w:r>
      <w:r w:rsidRPr="007F6E44">
        <w:rPr>
          <w:rFonts w:asciiTheme="majorBidi" w:hAnsiTheme="majorBidi" w:cs="Traditional Arabic"/>
          <w:sz w:val="36"/>
          <w:szCs w:val="36"/>
          <w:rtl/>
        </w:rPr>
        <w:t>شخوصها اِختيرت</w:t>
      </w:r>
      <w:r w:rsidRPr="007F6E44">
        <w:rPr>
          <w:rFonts w:asciiTheme="majorBidi" w:hAnsiTheme="majorBidi" w:cs="Traditional Arabic"/>
          <w:color w:val="FF0000"/>
          <w:sz w:val="36"/>
          <w:szCs w:val="36"/>
          <w:rtl/>
        </w:rPr>
        <w:t xml:space="preserve"> </w:t>
      </w:r>
      <w:r w:rsidRPr="007F6E44">
        <w:rPr>
          <w:rFonts w:asciiTheme="majorBidi" w:hAnsiTheme="majorBidi" w:cs="Traditional Arabic"/>
          <w:color w:val="000000" w:themeColor="text1"/>
          <w:sz w:val="36"/>
          <w:szCs w:val="36"/>
          <w:rtl/>
        </w:rPr>
        <w:t>من الحيوانات</w:t>
      </w:r>
      <w:r>
        <w:rPr>
          <w:rFonts w:asciiTheme="majorBidi" w:hAnsiTheme="majorBidi" w:cs="Traditional Arabic" w:hint="cs"/>
          <w:color w:val="000000" w:themeColor="text1"/>
          <w:sz w:val="36"/>
          <w:szCs w:val="36"/>
          <w:rtl/>
        </w:rPr>
        <w:t>،</w:t>
      </w:r>
      <w:r w:rsidRPr="007F6E44">
        <w:rPr>
          <w:rFonts w:asciiTheme="majorBidi" w:hAnsiTheme="majorBidi" w:cs="Traditional Arabic"/>
          <w:color w:val="000000" w:themeColor="text1"/>
          <w:sz w:val="36"/>
          <w:szCs w:val="36"/>
          <w:rtl/>
        </w:rPr>
        <w:t xml:space="preserve"> ومن نماذجها كليلة ودمنة، التي حاولت تصوير فضاء حيواني عجائبي، لا يختلف كثير عن العجائبية في بعض الأعمال الفنية التي ظهرت في القرن التاسع عشر في أوروبا.</w:t>
      </w:r>
    </w:p>
    <w:p w:rsidR="009B7327" w:rsidRPr="007F6E44" w:rsidRDefault="009B7327" w:rsidP="009B7327">
      <w:pPr>
        <w:bidi/>
        <w:spacing w:after="0" w:line="259" w:lineRule="auto"/>
        <w:ind w:firstLine="709"/>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ومن الخطابات الرمزية ما يعتمد على الحلم كرسالة الغفران، ذلك أن الحلم شغل دورا كبيرا في اخصاب المخيلة العربية، وإعطاء الإعمال الإبداعية </w:t>
      </w:r>
      <w:r>
        <w:rPr>
          <w:rFonts w:asciiTheme="majorBidi" w:hAnsiTheme="majorBidi" w:cs="Traditional Arabic" w:hint="cs"/>
          <w:sz w:val="36"/>
          <w:szCs w:val="36"/>
          <w:rtl/>
        </w:rPr>
        <w:t>أ</w:t>
      </w:r>
      <w:r w:rsidRPr="007F6E44">
        <w:rPr>
          <w:rFonts w:asciiTheme="majorBidi" w:hAnsiTheme="majorBidi" w:cs="Traditional Arabic"/>
          <w:sz w:val="36"/>
          <w:szCs w:val="36"/>
          <w:rtl/>
        </w:rPr>
        <w:t>بعادا موحية وفريدة، وهي تخف</w:t>
      </w:r>
      <w:r>
        <w:rPr>
          <w:rFonts w:asciiTheme="majorBidi" w:hAnsiTheme="majorBidi" w:cs="Traditional Arabic" w:hint="cs"/>
          <w:sz w:val="36"/>
          <w:szCs w:val="36"/>
          <w:rtl/>
        </w:rPr>
        <w:t>ي</w:t>
      </w:r>
      <w:r w:rsidRPr="007F6E44">
        <w:rPr>
          <w:rFonts w:asciiTheme="majorBidi" w:hAnsiTheme="majorBidi" w:cs="Traditional Arabic"/>
          <w:sz w:val="36"/>
          <w:szCs w:val="36"/>
          <w:rtl/>
        </w:rPr>
        <w:t xml:space="preserve"> وراءها معاني أخلاقية أو دينية غير المعنى الظاهر.</w:t>
      </w:r>
    </w:p>
    <w:p w:rsidR="009B7327" w:rsidRPr="007F6E44" w:rsidRDefault="009B7327" w:rsidP="009B7327">
      <w:pPr>
        <w:pStyle w:val="Paragraphedeliste"/>
        <w:bidi/>
        <w:spacing w:after="0" w:line="259" w:lineRule="auto"/>
        <w:ind w:left="0"/>
        <w:jc w:val="both"/>
        <w:rPr>
          <w:rFonts w:asciiTheme="majorBidi" w:hAnsiTheme="majorBidi" w:cs="Traditional Arabic"/>
          <w:b/>
          <w:bCs/>
          <w:sz w:val="36"/>
          <w:szCs w:val="36"/>
        </w:rPr>
      </w:pPr>
      <w:r>
        <w:rPr>
          <w:rFonts w:asciiTheme="majorBidi" w:hAnsiTheme="majorBidi" w:cs="Traditional Arabic" w:hint="cs"/>
          <w:b/>
          <w:bCs/>
          <w:sz w:val="36"/>
          <w:szCs w:val="36"/>
          <w:rtl/>
        </w:rPr>
        <w:lastRenderedPageBreak/>
        <w:t xml:space="preserve">1-6 </w:t>
      </w:r>
      <w:r w:rsidRPr="007F6E44">
        <w:rPr>
          <w:rFonts w:asciiTheme="majorBidi" w:hAnsiTheme="majorBidi" w:cs="Traditional Arabic"/>
          <w:b/>
          <w:bCs/>
          <w:sz w:val="36"/>
          <w:szCs w:val="36"/>
          <w:rtl/>
        </w:rPr>
        <w:t>كتب التاريخ والجغرافيا والرحلات</w:t>
      </w:r>
      <w:r>
        <w:rPr>
          <w:rFonts w:asciiTheme="majorBidi" w:hAnsiTheme="majorBidi" w:cs="Traditional Arabic" w:hint="cs"/>
          <w:b/>
          <w:bCs/>
          <w:sz w:val="36"/>
          <w:szCs w:val="36"/>
          <w:rtl/>
        </w:rPr>
        <w:t>:</w:t>
      </w:r>
      <w:r w:rsidRPr="007F6E44">
        <w:rPr>
          <w:rFonts w:asciiTheme="majorBidi" w:hAnsiTheme="majorBidi" w:cs="Traditional Arabic"/>
          <w:b/>
          <w:bCs/>
          <w:sz w:val="36"/>
          <w:szCs w:val="36"/>
          <w:rtl/>
        </w:rPr>
        <w:t xml:space="preserve"> </w:t>
      </w:r>
    </w:p>
    <w:p w:rsidR="009B7327" w:rsidRPr="007F6E44" w:rsidRDefault="009B7327" w:rsidP="009B7327">
      <w:pPr>
        <w:bidi/>
        <w:spacing w:after="0" w:line="259" w:lineRule="auto"/>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تضمنت كتب التاريخ أخبارا وحكايات غريبة تعود في معظمها إلى مخيلة المؤرخ أو الجغرافي أو الذاكرة الشعبية ولا أدل على ذلك مما ورد في مروج الذهب عند المسعودي وما رواه كل من وهب بن منبه وكعب الأحبار </w:t>
      </w:r>
      <w:r>
        <w:rPr>
          <w:rFonts w:asciiTheme="majorBidi" w:hAnsiTheme="majorBidi" w:cs="Traditional Arabic" w:hint="cs"/>
          <w:sz w:val="36"/>
          <w:szCs w:val="36"/>
          <w:rtl/>
        </w:rPr>
        <w:t>ع</w:t>
      </w:r>
      <w:r w:rsidRPr="007F6E44">
        <w:rPr>
          <w:rFonts w:asciiTheme="majorBidi" w:hAnsiTheme="majorBidi" w:cs="Traditional Arabic"/>
          <w:sz w:val="36"/>
          <w:szCs w:val="36"/>
          <w:rtl/>
        </w:rPr>
        <w:t>ن الأخبار والقصص والأساطير التي إمتلأت بها كتب الجغرافيا والرحلات والعجائب، من هذه الأساطير التي سِّودت بها الكتب القديمة ما تعلق بالغول وهو كائن خرافي ظل العرب يعتقدون بوجوده</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17"/>
      </w:r>
      <w:r w:rsidRPr="007F6E44">
        <w:rPr>
          <w:rFonts w:cs="Traditional Arabic" w:hint="cs"/>
          <w:sz w:val="36"/>
          <w:szCs w:val="36"/>
          <w:vertAlign w:val="superscript"/>
          <w:rtl/>
          <w:lang w:bidi="ar-DZ"/>
        </w:rPr>
        <w:t>)</w:t>
      </w:r>
      <w:r w:rsidRPr="007F6E44">
        <w:rPr>
          <w:rFonts w:asciiTheme="majorBidi" w:hAnsiTheme="majorBidi" w:cs="Traditional Arabic"/>
          <w:sz w:val="36"/>
          <w:szCs w:val="36"/>
          <w:rtl/>
        </w:rPr>
        <w:t>.</w:t>
      </w:r>
    </w:p>
    <w:p w:rsidR="009B7327" w:rsidRPr="007F6E44" w:rsidRDefault="009B7327" w:rsidP="009B7327">
      <w:pPr>
        <w:bidi/>
        <w:spacing w:after="0" w:line="259" w:lineRule="auto"/>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  وعليه فالبعد العجائبي كان حاضرا وبقوه في كل هذه المعتقدات الشعبية. فقد أثرتها المخيلة العربية القادرة على إنجاب أجمل الأساطير من مجرد إشارات قرآنية، لم تشفِ غليل القوم، فراحوا ينسجون الأساطير من حولها نسجا مثيرًا، يبعث التردد والحيرة في نفوس المتلقين.</w:t>
      </w:r>
    </w:p>
    <w:p w:rsidR="009B7327" w:rsidRPr="007F6E44" w:rsidRDefault="009B7327" w:rsidP="009B7327">
      <w:pPr>
        <w:bidi/>
        <w:spacing w:after="0" w:line="259" w:lineRule="auto"/>
        <w:jc w:val="both"/>
        <w:rPr>
          <w:rFonts w:asciiTheme="majorBidi" w:hAnsiTheme="majorBidi" w:cs="Traditional Arabic"/>
          <w:sz w:val="36"/>
          <w:szCs w:val="36"/>
          <w:rtl/>
        </w:rPr>
      </w:pPr>
      <w:r w:rsidRPr="007F6E44">
        <w:rPr>
          <w:rFonts w:asciiTheme="majorBidi" w:hAnsiTheme="majorBidi" w:cs="Traditional Arabic"/>
          <w:sz w:val="36"/>
          <w:szCs w:val="36"/>
          <w:rtl/>
        </w:rPr>
        <w:t xml:space="preserve"> انتعش في السنوات العشر الأولى للخلافة نوع من الجغرافيا يطلق عليه" الجغرافيا الأسطورية".</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18"/>
      </w:r>
      <w:r w:rsidRPr="007F6E44">
        <w:rPr>
          <w:rFonts w:cs="Traditional Arabic" w:hint="cs"/>
          <w:sz w:val="36"/>
          <w:szCs w:val="36"/>
          <w:vertAlign w:val="superscript"/>
          <w:rtl/>
          <w:lang w:bidi="ar-DZ"/>
        </w:rPr>
        <w:t xml:space="preserve">) </w:t>
      </w:r>
      <w:r w:rsidRPr="007F6E44">
        <w:rPr>
          <w:rFonts w:asciiTheme="majorBidi" w:hAnsiTheme="majorBidi" w:cs="Traditional Arabic"/>
          <w:sz w:val="36"/>
          <w:szCs w:val="36"/>
          <w:rtl/>
        </w:rPr>
        <w:t>هذا النمط الذي يمكن عده شكلا من أشكال العجائب والغرائب التي ملئت بها كتب الرحلات خصوصا.</w:t>
      </w:r>
    </w:p>
    <w:p w:rsidR="009B7327" w:rsidRPr="007F6E44" w:rsidRDefault="009B7327" w:rsidP="009B7327">
      <w:pPr>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وقد ارتبط هذا النمط ببعض الأماكن الأسطورية كجبل قاف الذي يقول عنه القزويني«إنه جبل محيط بالدنيا وهو من زبر جدة خضراء منه خضرة السماوات ووراءه عالم وخلائق لا يعلمهم إلا الله»</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19"/>
      </w:r>
      <w:r w:rsidRPr="007F6E44">
        <w:rPr>
          <w:rFonts w:cs="Traditional Arabic" w:hint="cs"/>
          <w:sz w:val="36"/>
          <w:szCs w:val="36"/>
          <w:vertAlign w:val="superscript"/>
          <w:rtl/>
          <w:lang w:bidi="ar-DZ"/>
        </w:rPr>
        <w:t>)</w:t>
      </w:r>
      <w:r w:rsidRPr="007F6E44">
        <w:rPr>
          <w:rFonts w:asciiTheme="majorBidi" w:hAnsiTheme="majorBidi" w:cs="Traditional Arabic"/>
          <w:sz w:val="36"/>
          <w:szCs w:val="36"/>
          <w:vertAlign w:val="superscript"/>
          <w:rtl/>
        </w:rPr>
        <w:t xml:space="preserve"> </w:t>
      </w:r>
      <w:r w:rsidRPr="007F6E44">
        <w:rPr>
          <w:rFonts w:asciiTheme="majorBidi" w:hAnsiTheme="majorBidi" w:cs="Traditional Arabic"/>
          <w:sz w:val="36"/>
          <w:szCs w:val="36"/>
          <w:rtl/>
        </w:rPr>
        <w:t>وعلى الرغم من غياب إشارة قرآنية إلى هذا الجبل.</w:t>
      </w:r>
    </w:p>
    <w:p w:rsidR="009B7327" w:rsidRPr="007F6E44" w:rsidRDefault="009B7327" w:rsidP="009B7327">
      <w:pPr>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ومن الموضوعات التي وردت في القرآن الكريم ودارت حولها الأساطير سد يأجوج ومأجوج وقصة أهل الكهف، دونتها كتب المتقدمين من أمثال المسعودي والقزويني وابن خرداذبة وياقوت الحموي والغزناطي.</w:t>
      </w:r>
    </w:p>
    <w:p w:rsidR="009B7327" w:rsidRPr="007F6E44" w:rsidRDefault="009B7327" w:rsidP="009B7327">
      <w:pPr>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كل هذه المعتقدات الشعبية استفحلت بين العامة والخاصة حتى أنه لم يقدر أحد من العلماء على دفعها وهو مما يغذي البعد العجائبي في أدب الرَّحلات.</w:t>
      </w:r>
    </w:p>
    <w:p w:rsidR="009B7327" w:rsidRPr="007F6E44" w:rsidRDefault="009B7327" w:rsidP="009B7327">
      <w:pPr>
        <w:bidi/>
        <w:spacing w:after="0" w:line="264" w:lineRule="auto"/>
        <w:ind w:left="-1"/>
        <w:jc w:val="both"/>
        <w:rPr>
          <w:rFonts w:asciiTheme="majorBidi" w:hAnsiTheme="majorBidi" w:cs="Traditional Arabic"/>
          <w:b/>
          <w:bCs/>
          <w:sz w:val="36"/>
          <w:szCs w:val="36"/>
          <w:u w:val="single"/>
          <w:rtl/>
        </w:rPr>
      </w:pPr>
      <w:r w:rsidRPr="00433DDB">
        <w:rPr>
          <w:rFonts w:asciiTheme="majorBidi" w:hAnsiTheme="majorBidi" w:cs="Traditional Arabic" w:hint="cs"/>
          <w:b/>
          <w:bCs/>
          <w:sz w:val="36"/>
          <w:szCs w:val="36"/>
          <w:rtl/>
        </w:rPr>
        <w:t xml:space="preserve">2- </w:t>
      </w:r>
      <w:r w:rsidRPr="007F6E44">
        <w:rPr>
          <w:rFonts w:asciiTheme="majorBidi" w:hAnsiTheme="majorBidi" w:cs="Traditional Arabic"/>
          <w:b/>
          <w:bCs/>
          <w:sz w:val="36"/>
          <w:szCs w:val="36"/>
          <w:u w:val="single"/>
          <w:rtl/>
        </w:rPr>
        <w:t>نماذج من حضور العجيب في حكايات ألف ليلة وليلة:</w:t>
      </w:r>
    </w:p>
    <w:p w:rsidR="009B7327" w:rsidRPr="007F6E44" w:rsidRDefault="009B7327" w:rsidP="009B7327">
      <w:pPr>
        <w:pStyle w:val="Paragraphedeliste"/>
        <w:numPr>
          <w:ilvl w:val="0"/>
          <w:numId w:val="1"/>
        </w:numPr>
        <w:tabs>
          <w:tab w:val="right" w:pos="282"/>
        </w:tabs>
        <w:bidi/>
        <w:spacing w:after="0" w:line="264" w:lineRule="auto"/>
        <w:ind w:left="-1" w:firstLine="0"/>
        <w:jc w:val="both"/>
        <w:rPr>
          <w:rFonts w:asciiTheme="majorBidi" w:hAnsiTheme="majorBidi" w:cs="Traditional Arabic"/>
          <w:sz w:val="36"/>
          <w:szCs w:val="36"/>
        </w:rPr>
      </w:pPr>
      <w:r w:rsidRPr="007F6E44">
        <w:rPr>
          <w:rFonts w:asciiTheme="majorBidi" w:hAnsiTheme="majorBidi" w:cs="Traditional Arabic"/>
          <w:sz w:val="36"/>
          <w:szCs w:val="36"/>
          <w:rtl/>
        </w:rPr>
        <w:lastRenderedPageBreak/>
        <w:t>تصوير المارد: وخرج من ذلك القمقم دخان صعد إلى عنان السماء ومشي على وجه الأرض فتعجبت غاية العجب.</w:t>
      </w:r>
    </w:p>
    <w:p w:rsidR="009B7327" w:rsidRPr="007F6E44" w:rsidRDefault="009B7327" w:rsidP="009B7327">
      <w:pPr>
        <w:pStyle w:val="Paragraphedeliste"/>
        <w:numPr>
          <w:ilvl w:val="0"/>
          <w:numId w:val="1"/>
        </w:numPr>
        <w:tabs>
          <w:tab w:val="right" w:pos="282"/>
        </w:tabs>
        <w:bidi/>
        <w:spacing w:after="0" w:line="264" w:lineRule="auto"/>
        <w:ind w:left="-1" w:firstLine="0"/>
        <w:jc w:val="both"/>
        <w:rPr>
          <w:rFonts w:asciiTheme="majorBidi" w:hAnsiTheme="majorBidi" w:cs="Traditional Arabic"/>
          <w:sz w:val="36"/>
          <w:szCs w:val="36"/>
        </w:rPr>
      </w:pPr>
      <w:r w:rsidRPr="007F6E44">
        <w:rPr>
          <w:rFonts w:asciiTheme="majorBidi" w:hAnsiTheme="majorBidi" w:cs="Traditional Arabic"/>
          <w:sz w:val="36"/>
          <w:szCs w:val="36"/>
          <w:rtl/>
        </w:rPr>
        <w:t>وبعد ذلك تك</w:t>
      </w:r>
      <w:r>
        <w:rPr>
          <w:rFonts w:asciiTheme="majorBidi" w:hAnsiTheme="majorBidi" w:cs="Traditional Arabic"/>
          <w:sz w:val="36"/>
          <w:szCs w:val="36"/>
          <w:rtl/>
        </w:rPr>
        <w:t>امل ال</w:t>
      </w:r>
      <w:r>
        <w:rPr>
          <w:rFonts w:asciiTheme="majorBidi" w:hAnsiTheme="majorBidi" w:cs="Traditional Arabic" w:hint="cs"/>
          <w:sz w:val="36"/>
          <w:szCs w:val="36"/>
          <w:rtl/>
        </w:rPr>
        <w:t>ج</w:t>
      </w:r>
      <w:r w:rsidRPr="007F6E44">
        <w:rPr>
          <w:rFonts w:asciiTheme="majorBidi" w:hAnsiTheme="majorBidi" w:cs="Traditional Arabic"/>
          <w:sz w:val="36"/>
          <w:szCs w:val="36"/>
          <w:rtl/>
        </w:rPr>
        <w:t>ان واجتمع ثمَّ انتفض فصار عفريتا.</w:t>
      </w:r>
    </w:p>
    <w:p w:rsidR="009B7327" w:rsidRPr="007F6E44" w:rsidRDefault="009B7327" w:rsidP="009B7327">
      <w:pPr>
        <w:pStyle w:val="Paragraphedeliste"/>
        <w:numPr>
          <w:ilvl w:val="0"/>
          <w:numId w:val="1"/>
        </w:numPr>
        <w:tabs>
          <w:tab w:val="right" w:pos="282"/>
        </w:tabs>
        <w:bidi/>
        <w:spacing w:after="0" w:line="264" w:lineRule="auto"/>
        <w:ind w:left="-1" w:firstLine="0"/>
        <w:jc w:val="both"/>
        <w:rPr>
          <w:rFonts w:asciiTheme="majorBidi" w:hAnsiTheme="majorBidi" w:cs="Traditional Arabic"/>
          <w:sz w:val="36"/>
          <w:szCs w:val="36"/>
        </w:rPr>
      </w:pPr>
      <w:r w:rsidRPr="007F6E44">
        <w:rPr>
          <w:rFonts w:asciiTheme="majorBidi" w:hAnsiTheme="majorBidi" w:cs="Traditional Arabic"/>
          <w:sz w:val="36"/>
          <w:szCs w:val="36"/>
          <w:rtl/>
        </w:rPr>
        <w:t>رأسه في السَّحاب ورجلاه في التراب</w:t>
      </w:r>
      <w:r w:rsidRPr="007F6E44">
        <w:rPr>
          <w:rFonts w:cs="Traditional Arabic" w:hint="cs"/>
          <w:sz w:val="36"/>
          <w:szCs w:val="36"/>
          <w:vertAlign w:val="superscript"/>
          <w:rtl/>
          <w:lang w:bidi="ar-DZ"/>
        </w:rPr>
        <w:t xml:space="preserve"> (</w:t>
      </w:r>
      <w:r w:rsidRPr="007F6E44">
        <w:rPr>
          <w:rStyle w:val="Appelnotedebasdep"/>
          <w:rFonts w:cs="Traditional Arabic"/>
          <w:sz w:val="36"/>
          <w:szCs w:val="36"/>
          <w:rtl/>
          <w:lang w:bidi="ar-DZ"/>
        </w:rPr>
        <w:footnoteReference w:id="20"/>
      </w:r>
      <w:r w:rsidRPr="007F6E44">
        <w:rPr>
          <w:rFonts w:cs="Traditional Arabic" w:hint="cs"/>
          <w:sz w:val="36"/>
          <w:szCs w:val="36"/>
          <w:vertAlign w:val="superscript"/>
          <w:rtl/>
          <w:lang w:bidi="ar-DZ"/>
        </w:rPr>
        <w:t>)</w:t>
      </w:r>
      <w:r w:rsidRPr="007F6E44">
        <w:rPr>
          <w:rFonts w:asciiTheme="majorBidi" w:hAnsiTheme="majorBidi" w:cs="Traditional Arabic"/>
          <w:sz w:val="36"/>
          <w:szCs w:val="36"/>
          <w:rtl/>
        </w:rPr>
        <w:t xml:space="preserve"> </w:t>
      </w:r>
    </w:p>
    <w:p w:rsidR="009B7327" w:rsidRPr="00433DDB" w:rsidRDefault="009B7327" w:rsidP="009B7327">
      <w:pPr>
        <w:pStyle w:val="Paragraphedeliste"/>
        <w:numPr>
          <w:ilvl w:val="0"/>
          <w:numId w:val="1"/>
        </w:numPr>
        <w:tabs>
          <w:tab w:val="right" w:pos="282"/>
        </w:tabs>
        <w:bidi/>
        <w:spacing w:after="0" w:line="264" w:lineRule="auto"/>
        <w:ind w:left="-1" w:firstLine="0"/>
        <w:jc w:val="both"/>
        <w:rPr>
          <w:rFonts w:asciiTheme="majorBidi" w:hAnsiTheme="majorBidi" w:cs="Traditional Arabic"/>
          <w:b/>
          <w:bCs/>
          <w:sz w:val="36"/>
          <w:szCs w:val="36"/>
        </w:rPr>
      </w:pPr>
      <w:r w:rsidRPr="00433DDB">
        <w:rPr>
          <w:rFonts w:asciiTheme="majorBidi" w:hAnsiTheme="majorBidi" w:cs="Traditional Arabic"/>
          <w:b/>
          <w:bCs/>
          <w:sz w:val="36"/>
          <w:szCs w:val="36"/>
          <w:rtl/>
        </w:rPr>
        <w:t>في وصف المدينة:</w:t>
      </w:r>
      <w:r w:rsidRPr="00E94F56">
        <w:rPr>
          <w:rFonts w:asciiTheme="majorBidi" w:hAnsiTheme="majorBidi" w:cs="Traditional Arabic" w:hint="cs"/>
          <w:sz w:val="36"/>
          <w:szCs w:val="36"/>
          <w:rtl/>
        </w:rPr>
        <w:t xml:space="preserve"> في وصفها نجد</w:t>
      </w:r>
    </w:p>
    <w:p w:rsidR="009B7327" w:rsidRPr="007F6E44" w:rsidRDefault="009B7327" w:rsidP="009B7327">
      <w:pPr>
        <w:pStyle w:val="Paragraphedeliste"/>
        <w:bidi/>
        <w:spacing w:after="0" w:line="264" w:lineRule="auto"/>
        <w:ind w:left="-1"/>
        <w:jc w:val="both"/>
        <w:rPr>
          <w:rFonts w:asciiTheme="majorBidi" w:hAnsiTheme="majorBidi" w:cs="Traditional Arabic"/>
          <w:sz w:val="36"/>
          <w:szCs w:val="36"/>
          <w:rtl/>
        </w:rPr>
      </w:pPr>
      <w:r>
        <w:rPr>
          <w:rFonts w:asciiTheme="majorBidi" w:hAnsiTheme="majorBidi" w:cs="Traditional Arabic"/>
          <w:sz w:val="36"/>
          <w:szCs w:val="36"/>
          <w:rtl/>
        </w:rPr>
        <w:t>«</w:t>
      </w:r>
      <w:r w:rsidRPr="007F6E44">
        <w:rPr>
          <w:rFonts w:asciiTheme="majorBidi" w:hAnsiTheme="majorBidi" w:cs="Traditional Arabic"/>
          <w:sz w:val="36"/>
          <w:szCs w:val="36"/>
          <w:rtl/>
        </w:rPr>
        <w:t>فبينما هو سائر في صحاري اليمن وأرض سبأ إذ وقع على مدينة عظيمة وحولها حصن عظيم، وحو</w:t>
      </w:r>
      <w:r>
        <w:rPr>
          <w:rFonts w:asciiTheme="majorBidi" w:hAnsiTheme="majorBidi" w:cs="Traditional Arabic"/>
          <w:sz w:val="36"/>
          <w:szCs w:val="36"/>
          <w:rtl/>
        </w:rPr>
        <w:t>ل ذلك الحصن قصور شاهقة في الجو(</w:t>
      </w:r>
      <w:r w:rsidRPr="007F6E44">
        <w:rPr>
          <w:rFonts w:asciiTheme="majorBidi" w:hAnsiTheme="majorBidi" w:cs="Traditional Arabic"/>
          <w:sz w:val="36"/>
          <w:szCs w:val="36"/>
          <w:rtl/>
        </w:rPr>
        <w:t>...)، له بابين عظيمين لم يُر في الدنيا مثلهما في العظم والارتف</w:t>
      </w:r>
      <w:r>
        <w:rPr>
          <w:rFonts w:asciiTheme="majorBidi" w:hAnsiTheme="majorBidi" w:cs="Traditional Arabic"/>
          <w:sz w:val="36"/>
          <w:szCs w:val="36"/>
          <w:rtl/>
        </w:rPr>
        <w:t>اع وهما مرصعان بأنواع الجواهر(.</w:t>
      </w:r>
      <w:r w:rsidRPr="007F6E44">
        <w:rPr>
          <w:rFonts w:asciiTheme="majorBidi" w:hAnsiTheme="majorBidi" w:cs="Traditional Arabic"/>
          <w:sz w:val="36"/>
          <w:szCs w:val="36"/>
          <w:rtl/>
        </w:rPr>
        <w:t>..) فرأيت ذلك الحصن طويلا</w:t>
      </w:r>
      <w:r>
        <w:rPr>
          <w:rFonts w:asciiTheme="majorBidi" w:hAnsiTheme="majorBidi" w:cs="Traditional Arabic"/>
          <w:sz w:val="36"/>
          <w:szCs w:val="36"/>
          <w:rtl/>
        </w:rPr>
        <w:t xml:space="preserve"> مديدا مثل المدينة في السَّعة..</w:t>
      </w:r>
      <w:r w:rsidRPr="007F6E44">
        <w:rPr>
          <w:rFonts w:asciiTheme="majorBidi" w:hAnsiTheme="majorBidi" w:cs="Traditional Arabic"/>
          <w:sz w:val="36"/>
          <w:szCs w:val="36"/>
          <w:rtl/>
        </w:rPr>
        <w:t>.».</w:t>
      </w:r>
      <w:r w:rsidRPr="007F6E44">
        <w:rPr>
          <w:rFonts w:cs="Traditional Arabic" w:hint="cs"/>
          <w:sz w:val="36"/>
          <w:szCs w:val="36"/>
          <w:vertAlign w:val="superscript"/>
          <w:rtl/>
          <w:lang w:bidi="ar-DZ"/>
        </w:rPr>
        <w:t xml:space="preserve"> (</w:t>
      </w:r>
      <w:r w:rsidRPr="007F6E44">
        <w:rPr>
          <w:rStyle w:val="Appelnotedebasdep"/>
          <w:rFonts w:cs="Traditional Arabic"/>
          <w:sz w:val="36"/>
          <w:szCs w:val="36"/>
          <w:rtl/>
          <w:lang w:bidi="ar-DZ"/>
        </w:rPr>
        <w:footnoteReference w:id="21"/>
      </w:r>
      <w:r w:rsidRPr="007F6E44">
        <w:rPr>
          <w:rFonts w:cs="Traditional Arabic" w:hint="cs"/>
          <w:sz w:val="36"/>
          <w:szCs w:val="36"/>
          <w:vertAlign w:val="superscript"/>
          <w:rtl/>
          <w:lang w:bidi="ar-DZ"/>
        </w:rPr>
        <w:t>)</w:t>
      </w:r>
    </w:p>
    <w:p w:rsidR="009B7327" w:rsidRPr="00433DDB" w:rsidRDefault="009B7327" w:rsidP="009B7327">
      <w:pPr>
        <w:pStyle w:val="Paragraphedeliste"/>
        <w:numPr>
          <w:ilvl w:val="0"/>
          <w:numId w:val="1"/>
        </w:numPr>
        <w:tabs>
          <w:tab w:val="right" w:pos="282"/>
        </w:tabs>
        <w:bidi/>
        <w:spacing w:after="0" w:line="264" w:lineRule="auto"/>
        <w:ind w:left="-1" w:firstLine="0"/>
        <w:jc w:val="both"/>
        <w:rPr>
          <w:rFonts w:asciiTheme="majorBidi" w:hAnsiTheme="majorBidi" w:cs="Traditional Arabic"/>
          <w:sz w:val="36"/>
          <w:szCs w:val="36"/>
        </w:rPr>
      </w:pPr>
      <w:r w:rsidRPr="007F6E44">
        <w:rPr>
          <w:rFonts w:asciiTheme="majorBidi" w:hAnsiTheme="majorBidi" w:cs="Traditional Arabic"/>
          <w:b/>
          <w:bCs/>
          <w:sz w:val="36"/>
          <w:szCs w:val="36"/>
          <w:rtl/>
        </w:rPr>
        <w:t>المسخ:</w:t>
      </w:r>
    </w:p>
    <w:p w:rsidR="009B7327" w:rsidRPr="007F6E44" w:rsidRDefault="009B7327" w:rsidP="009B7327">
      <w:pPr>
        <w:pStyle w:val="Paragraphedeliste"/>
        <w:tabs>
          <w:tab w:val="right" w:pos="282"/>
        </w:tabs>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هو تحويل البشر إلى حيوانات أو أشياء أخرى مما يجعله شكلا هاما من أشكال العجيب.</w:t>
      </w:r>
    </w:p>
    <w:p w:rsidR="009B7327" w:rsidRPr="007F6E44" w:rsidRDefault="009B7327" w:rsidP="009B7327">
      <w:pPr>
        <w:pStyle w:val="Paragraphedeliste"/>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من نماذج في ألف ليلة وليلة: (حكاية العفريت والصَّياد).</w:t>
      </w:r>
    </w:p>
    <w:p w:rsidR="009B7327" w:rsidRDefault="009B7327" w:rsidP="009B7327">
      <w:pPr>
        <w:pStyle w:val="Paragraphedeliste"/>
        <w:bidi/>
        <w:spacing w:after="0" w:line="264" w:lineRule="auto"/>
        <w:ind w:left="-1"/>
        <w:jc w:val="both"/>
        <w:rPr>
          <w:rFonts w:asciiTheme="majorBidi" w:hAnsiTheme="majorBidi" w:cs="Traditional Arabic"/>
          <w:sz w:val="36"/>
          <w:szCs w:val="36"/>
          <w:rtl/>
        </w:rPr>
      </w:pPr>
      <w:r w:rsidRPr="007F6E44">
        <w:rPr>
          <w:rFonts w:asciiTheme="majorBidi" w:hAnsiTheme="majorBidi" w:cs="Traditional Arabic"/>
          <w:sz w:val="36"/>
          <w:szCs w:val="36"/>
          <w:rtl/>
        </w:rPr>
        <w:t>«وكانت بنت عمي هذه الغزالة تعلمت السحر والكاهنة من صغرها فسحرت ذلك الولد عجلا وسحرت الجارية أمه بقرة »</w:t>
      </w:r>
      <w:r w:rsidRPr="007F6E44">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22"/>
      </w:r>
      <w:r w:rsidRPr="007F6E44">
        <w:rPr>
          <w:rFonts w:cs="Traditional Arabic" w:hint="cs"/>
          <w:sz w:val="36"/>
          <w:szCs w:val="36"/>
          <w:vertAlign w:val="superscript"/>
          <w:rtl/>
          <w:lang w:bidi="ar-DZ"/>
        </w:rPr>
        <w:t>)</w:t>
      </w:r>
      <w:r w:rsidRPr="007F6E44">
        <w:rPr>
          <w:rFonts w:asciiTheme="majorBidi" w:hAnsiTheme="majorBidi" w:cs="Traditional Arabic"/>
          <w:sz w:val="36"/>
          <w:szCs w:val="36"/>
          <w:rtl/>
        </w:rPr>
        <w:t xml:space="preserve"> ونجد في موضع آخر</w:t>
      </w:r>
      <w:r>
        <w:rPr>
          <w:rFonts w:asciiTheme="majorBidi" w:hAnsiTheme="majorBidi" w:cs="Traditional Arabic" w:hint="cs"/>
          <w:sz w:val="36"/>
          <w:szCs w:val="36"/>
          <w:rtl/>
        </w:rPr>
        <w:t>:</w:t>
      </w:r>
      <w:r w:rsidRPr="007F6E44">
        <w:rPr>
          <w:rFonts w:asciiTheme="majorBidi" w:hAnsiTheme="majorBidi" w:cs="Traditional Arabic"/>
          <w:sz w:val="36"/>
          <w:szCs w:val="36"/>
          <w:rtl/>
        </w:rPr>
        <w:t xml:space="preserve"> </w:t>
      </w:r>
      <w:r w:rsidRPr="00E94F56">
        <w:rPr>
          <w:rFonts w:asciiTheme="majorBidi" w:hAnsiTheme="majorBidi" w:cs="Traditional Arabic"/>
          <w:sz w:val="36"/>
          <w:szCs w:val="36"/>
          <w:rtl/>
        </w:rPr>
        <w:t>«...قال ياحسن عمر البوتقة وكب الكير، ففعل ما أمره به الأعجمي وأوقد الفحم، فقال له يا ولدي هل عندك نحاس؟ فقال عندي طبق مكسور فأمره أن يتكئ عليه بالكاز ويقطعه قطعا صغيرة</w:t>
      </w:r>
      <w:r w:rsidRPr="00E94F56">
        <w:rPr>
          <w:rFonts w:asciiTheme="majorBidi" w:hAnsiTheme="majorBidi" w:cs="Traditional Arabic" w:hint="cs"/>
          <w:sz w:val="36"/>
          <w:szCs w:val="36"/>
          <w:rtl/>
        </w:rPr>
        <w:t xml:space="preserve"> </w:t>
      </w:r>
      <w:r w:rsidRPr="00E94F56">
        <w:rPr>
          <w:rFonts w:asciiTheme="majorBidi" w:hAnsiTheme="majorBidi" w:cs="Traditional Arabic"/>
          <w:sz w:val="36"/>
          <w:szCs w:val="36"/>
          <w:rtl/>
        </w:rPr>
        <w:t>(...) وأخرج ورقة ملفوفة وفتحها وذر منها شيئا في البوتقة مقدار نصف درهم</w:t>
      </w:r>
      <w:r w:rsidRPr="00E94F56">
        <w:rPr>
          <w:rFonts w:asciiTheme="majorBidi" w:hAnsiTheme="majorBidi" w:cs="Traditional Arabic" w:hint="cs"/>
          <w:sz w:val="36"/>
          <w:szCs w:val="36"/>
          <w:rtl/>
        </w:rPr>
        <w:t xml:space="preserve"> </w:t>
      </w:r>
      <w:r w:rsidRPr="00E94F56">
        <w:rPr>
          <w:rFonts w:asciiTheme="majorBidi" w:hAnsiTheme="majorBidi" w:cs="Traditional Arabic"/>
          <w:sz w:val="36"/>
          <w:szCs w:val="36"/>
          <w:rtl/>
        </w:rPr>
        <w:t>(...) حتى صار سبيكة ذهب".</w:t>
      </w:r>
      <w:r w:rsidRPr="00E94F56">
        <w:rPr>
          <w:rFonts w:cs="Traditional Arabic" w:hint="cs"/>
          <w:sz w:val="36"/>
          <w:szCs w:val="36"/>
          <w:vertAlign w:val="superscript"/>
          <w:rtl/>
          <w:lang w:bidi="ar-DZ"/>
        </w:rPr>
        <w:t>(</w:t>
      </w:r>
      <w:r w:rsidRPr="007F6E44">
        <w:rPr>
          <w:rStyle w:val="Appelnotedebasdep"/>
          <w:rFonts w:cs="Traditional Arabic"/>
          <w:sz w:val="36"/>
          <w:szCs w:val="36"/>
          <w:rtl/>
          <w:lang w:bidi="ar-DZ"/>
        </w:rPr>
        <w:footnoteReference w:id="23"/>
      </w:r>
      <w:r w:rsidRPr="00E94F56">
        <w:rPr>
          <w:rFonts w:cs="Traditional Arabic" w:hint="cs"/>
          <w:sz w:val="36"/>
          <w:szCs w:val="36"/>
          <w:vertAlign w:val="superscript"/>
          <w:rtl/>
          <w:lang w:bidi="ar-DZ"/>
        </w:rPr>
        <w:t>)</w:t>
      </w:r>
      <w:r w:rsidRPr="00E94F56">
        <w:rPr>
          <w:rFonts w:asciiTheme="majorBidi" w:hAnsiTheme="majorBidi" w:cs="Traditional Arabic"/>
          <w:sz w:val="36"/>
          <w:szCs w:val="36"/>
          <w:rtl/>
        </w:rPr>
        <w:t xml:space="preserve"> </w:t>
      </w:r>
    </w:p>
    <w:p w:rsidR="009B7327" w:rsidRPr="00E94F56" w:rsidRDefault="009B7327" w:rsidP="009B7327">
      <w:pPr>
        <w:pStyle w:val="Paragraphedeliste"/>
        <w:bidi/>
        <w:spacing w:after="0" w:line="264" w:lineRule="auto"/>
        <w:ind w:left="-1"/>
        <w:jc w:val="both"/>
        <w:rPr>
          <w:rFonts w:asciiTheme="majorBidi" w:hAnsiTheme="majorBidi" w:cs="Traditional Arabic"/>
          <w:sz w:val="36"/>
          <w:szCs w:val="36"/>
          <w:rtl/>
        </w:rPr>
      </w:pPr>
      <w:r>
        <w:rPr>
          <w:rFonts w:asciiTheme="majorBidi" w:hAnsiTheme="majorBidi" w:cs="Traditional Arabic" w:hint="cs"/>
          <w:sz w:val="36"/>
          <w:szCs w:val="36"/>
          <w:rtl/>
        </w:rPr>
        <w:tab/>
        <w:t>وتزخر حكايات ألف ليلة وليلة بأشكال متعددة للعجائبي فلا تخلوا حكاية منه.</w:t>
      </w:r>
    </w:p>
    <w:p w:rsidR="009B7327" w:rsidRDefault="009B7327" w:rsidP="009B7327">
      <w:pPr>
        <w:bidi/>
        <w:spacing w:after="0" w:line="264" w:lineRule="auto"/>
        <w:jc w:val="both"/>
        <w:rPr>
          <w:rFonts w:asciiTheme="majorBidi" w:hAnsiTheme="majorBidi" w:cs="Traditional Arabic"/>
          <w:sz w:val="36"/>
          <w:szCs w:val="36"/>
          <w:rtl/>
        </w:rPr>
      </w:pPr>
      <w:r>
        <w:rPr>
          <w:rFonts w:asciiTheme="majorBidi" w:hAnsiTheme="majorBidi" w:cs="Traditional Arabic"/>
          <w:sz w:val="36"/>
          <w:szCs w:val="36"/>
          <w:rtl/>
        </w:rPr>
        <w:br w:type="page"/>
      </w:r>
    </w:p>
    <w:p w:rsidR="008A1CEF" w:rsidRDefault="008A1CEF" w:rsidP="009B7327">
      <w:pPr>
        <w:bidi/>
      </w:pPr>
    </w:p>
    <w:sectPr w:rsidR="008A1CEF"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DE" w:rsidRDefault="003C65DE" w:rsidP="009B7327">
      <w:pPr>
        <w:spacing w:after="0" w:line="240" w:lineRule="auto"/>
      </w:pPr>
      <w:r>
        <w:separator/>
      </w:r>
    </w:p>
  </w:endnote>
  <w:endnote w:type="continuationSeparator" w:id="1">
    <w:p w:rsidR="003C65DE" w:rsidRDefault="003C65DE" w:rsidP="009B7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DE" w:rsidRDefault="003C65DE" w:rsidP="009B7327">
      <w:pPr>
        <w:spacing w:after="0" w:line="240" w:lineRule="auto"/>
      </w:pPr>
      <w:r>
        <w:separator/>
      </w:r>
    </w:p>
  </w:footnote>
  <w:footnote w:type="continuationSeparator" w:id="1">
    <w:p w:rsidR="003C65DE" w:rsidRDefault="003C65DE" w:rsidP="009B7327">
      <w:pPr>
        <w:spacing w:after="0" w:line="240" w:lineRule="auto"/>
      </w:pPr>
      <w:r>
        <w:continuationSeparator/>
      </w:r>
    </w:p>
  </w:footnote>
  <w:footnote w:id="2">
    <w:p w:rsidR="009B7327" w:rsidRPr="00964902" w:rsidRDefault="009B7327" w:rsidP="009B7327">
      <w:pPr>
        <w:bidi/>
        <w:spacing w:after="0" w:line="240" w:lineRule="auto"/>
        <w:jc w:val="both"/>
        <w:rPr>
          <w:rFonts w:ascii="Times New Roman" w:hAnsi="Times New Roman" w:cs="Traditional Arabic"/>
          <w:sz w:val="28"/>
          <w:szCs w:val="28"/>
          <w:rtl/>
          <w:lang w:bidi="ar-DZ"/>
        </w:rPr>
      </w:pPr>
      <w:r w:rsidRPr="00964902">
        <w:rPr>
          <w:rFonts w:ascii="Times New Roman" w:hAnsi="Times New Roman" w:cs="Traditional Arabic"/>
          <w:sz w:val="28"/>
          <w:szCs w:val="28"/>
          <w:vertAlign w:val="superscript"/>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Pr>
        <w:t>)</w:t>
      </w:r>
      <w:r w:rsidRPr="00964902">
        <w:rPr>
          <w:rFonts w:ascii="Times New Roman" w:hAnsi="Times New Roman" w:cs="Traditional Arabic"/>
          <w:sz w:val="28"/>
          <w:szCs w:val="28"/>
          <w:rtl/>
          <w:lang w:bidi="ar-DZ"/>
        </w:rPr>
        <w:t xml:space="preserve"> ضياء الكعبي، السرد العربيّ القديم، الأنساق الثقافيّة وإشكاليّات التأويل، ط1، المؤسسة العربية للدراسات والنشر، بيروت، 2005، ص33.</w:t>
      </w:r>
    </w:p>
  </w:footnote>
  <w:footnote w:id="3">
    <w:p w:rsidR="009B7327" w:rsidRPr="00964902" w:rsidRDefault="009B7327" w:rsidP="009B7327">
      <w:pPr>
        <w:bidi/>
        <w:spacing w:after="0" w:line="240" w:lineRule="auto"/>
        <w:jc w:val="both"/>
        <w:rPr>
          <w:rFonts w:ascii="Times New Roman" w:hAnsi="Times New Roman" w:cs="Traditional Arabic"/>
          <w:sz w:val="28"/>
          <w:szCs w:val="28"/>
          <w:rtl/>
          <w:lang w:bidi="ar-DZ"/>
        </w:rPr>
      </w:pPr>
      <w:r w:rsidRPr="00964902">
        <w:rPr>
          <w:rFonts w:ascii="Times New Roman" w:hAnsi="Times New Roman" w:cs="Traditional Arabic"/>
          <w:sz w:val="28"/>
          <w:szCs w:val="28"/>
          <w:vertAlign w:val="superscript"/>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Pr>
        <w:t>)</w:t>
      </w:r>
      <w:r w:rsidRPr="00964902">
        <w:rPr>
          <w:rFonts w:ascii="Times New Roman" w:hAnsi="Times New Roman" w:cs="Traditional Arabic"/>
          <w:sz w:val="28"/>
          <w:szCs w:val="28"/>
          <w:rtl/>
          <w:lang w:bidi="ar-DZ"/>
        </w:rPr>
        <w:t xml:space="preserve"> ابن منظور، لسان العرب، المحيط، قدَّم له: عبد الله العلايلي، أعاد بناءه على الحرف الأول من الكلمة، يوسف خيّاط، ج4 (مادة عجب)، د.ط دار الجيل، دار لسان العرب، بيروت، 1988، ص687.</w:t>
      </w:r>
    </w:p>
  </w:footnote>
  <w:footnote w:id="4">
    <w:p w:rsidR="009B7327" w:rsidRPr="009A0C39" w:rsidRDefault="009B7327" w:rsidP="009B7327">
      <w:pPr>
        <w:pStyle w:val="Notedebasdepage"/>
        <w:jc w:val="both"/>
        <w:rPr>
          <w:rFonts w:ascii="Times New Roman" w:hAnsi="Times New Roman" w:cs="Traditional Arabic"/>
          <w:sz w:val="24"/>
          <w:szCs w:val="24"/>
        </w:rPr>
      </w:pPr>
      <w:r w:rsidRPr="009A0C39">
        <w:rPr>
          <w:rFonts w:ascii="Times New Roman" w:hAnsi="Times New Roman" w:cs="Traditional Arabic"/>
          <w:sz w:val="24"/>
          <w:szCs w:val="24"/>
          <w:vertAlign w:val="superscript"/>
        </w:rPr>
        <w:t>(</w:t>
      </w:r>
      <w:r w:rsidRPr="009A0C39">
        <w:rPr>
          <w:rStyle w:val="Appelnotedebasdep"/>
          <w:rFonts w:ascii="Times New Roman" w:hAnsi="Times New Roman" w:cs="Traditional Arabic"/>
          <w:sz w:val="24"/>
          <w:szCs w:val="24"/>
        </w:rPr>
        <w:footnoteRef/>
      </w:r>
      <w:r w:rsidRPr="009A0C39">
        <w:rPr>
          <w:rFonts w:ascii="Times New Roman" w:hAnsi="Times New Roman" w:cs="Traditional Arabic"/>
          <w:sz w:val="24"/>
          <w:szCs w:val="24"/>
          <w:vertAlign w:val="superscript"/>
        </w:rPr>
        <w:t>)</w:t>
      </w:r>
      <w:r w:rsidRPr="009A0C39">
        <w:rPr>
          <w:rFonts w:ascii="Times New Roman" w:hAnsi="Times New Roman" w:cs="Traditional Arabic"/>
          <w:sz w:val="24"/>
          <w:szCs w:val="24"/>
          <w:rtl/>
        </w:rPr>
        <w:t xml:space="preserve"> </w:t>
      </w:r>
      <w:r w:rsidRPr="009A0C39">
        <w:rPr>
          <w:rFonts w:ascii="Times New Roman" w:hAnsi="Times New Roman" w:cs="Traditional Arabic"/>
          <w:sz w:val="24"/>
          <w:szCs w:val="24"/>
        </w:rPr>
        <w:t>Aimeé Aljanic Et D’autres, Le Petit Larousse, Imprimerie Casterman Nouvelle édition Belgique 1995, P649</w:t>
      </w:r>
    </w:p>
  </w:footnote>
  <w:footnote w:id="5">
    <w:p w:rsidR="009B7327" w:rsidRPr="00964902" w:rsidRDefault="009B7327" w:rsidP="009B7327">
      <w:pPr>
        <w:bidi/>
        <w:spacing w:after="0" w:line="240" w:lineRule="auto"/>
        <w:jc w:val="both"/>
        <w:rPr>
          <w:rFonts w:ascii="Times New Roman" w:hAnsi="Times New Roman" w:cs="Traditional Arabic"/>
          <w:sz w:val="28"/>
          <w:szCs w:val="28"/>
          <w:rtl/>
          <w:lang w:bidi="ar-DZ"/>
        </w:rPr>
      </w:pPr>
      <w:r w:rsidRPr="00964902">
        <w:rPr>
          <w:rFonts w:ascii="Times New Roman" w:hAnsi="Times New Roman" w:cs="Traditional Arabic"/>
          <w:sz w:val="28"/>
          <w:szCs w:val="28"/>
          <w:vertAlign w:val="superscript"/>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Pr>
        <w:t>)</w:t>
      </w:r>
      <w:r w:rsidRPr="00964902">
        <w:rPr>
          <w:rFonts w:ascii="Times New Roman" w:hAnsi="Times New Roman" w:cs="Traditional Arabic"/>
          <w:sz w:val="28"/>
          <w:szCs w:val="28"/>
          <w:rtl/>
          <w:lang w:bidi="ar-DZ"/>
        </w:rPr>
        <w:t xml:space="preserve"> القزويني، عجائب المخلوقات وغرائب الموجودات، تحقيق فاروق سعد، ط4، دار الآفاق الجديدة، بيروت، لبنان، 1981، ص31.</w:t>
      </w:r>
    </w:p>
  </w:footnote>
  <w:footnote w:id="6">
    <w:p w:rsidR="009B7327" w:rsidRPr="00964902" w:rsidRDefault="009B7327" w:rsidP="009B7327">
      <w:pPr>
        <w:bidi/>
        <w:spacing w:after="0" w:line="240" w:lineRule="auto"/>
        <w:jc w:val="both"/>
        <w:rPr>
          <w:rFonts w:ascii="Times New Roman" w:hAnsi="Times New Roman" w:cs="Traditional Arabic"/>
          <w:sz w:val="28"/>
          <w:szCs w:val="28"/>
          <w:rtl/>
          <w:lang w:bidi="ar-DZ"/>
        </w:rPr>
      </w:pPr>
      <w:r w:rsidRPr="00964902">
        <w:rPr>
          <w:rFonts w:ascii="Times New Roman" w:hAnsi="Times New Roman" w:cs="Traditional Arabic"/>
          <w:sz w:val="28"/>
          <w:szCs w:val="28"/>
          <w:vertAlign w:val="superscript"/>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Pr>
        <w:t>)</w:t>
      </w:r>
      <w:r w:rsidRPr="00964902">
        <w:rPr>
          <w:rFonts w:ascii="Times New Roman" w:hAnsi="Times New Roman" w:cs="Traditional Arabic"/>
          <w:sz w:val="28"/>
          <w:szCs w:val="28"/>
          <w:rtl/>
          <w:lang w:bidi="ar-DZ"/>
        </w:rPr>
        <w:t xml:space="preserve"> الجاحظ، البيان والتبيين، د.ط، دار الكتب العلمية، لسان، د.ت، ص50.</w:t>
      </w:r>
    </w:p>
  </w:footnote>
  <w:footnote w:id="7">
    <w:p w:rsidR="009B7327" w:rsidRPr="00964902" w:rsidRDefault="009B7327" w:rsidP="009B7327">
      <w:pPr>
        <w:bidi/>
        <w:spacing w:after="0" w:line="240" w:lineRule="auto"/>
        <w:jc w:val="both"/>
        <w:rPr>
          <w:rFonts w:ascii="Times New Roman" w:hAnsi="Times New Roman" w:cs="Traditional Arabic"/>
          <w:sz w:val="28"/>
          <w:szCs w:val="28"/>
          <w:rtl/>
          <w:lang w:bidi="ar-DZ"/>
        </w:rPr>
      </w:pPr>
      <w:r w:rsidRPr="00964902">
        <w:rPr>
          <w:rFonts w:ascii="Times New Roman" w:hAnsi="Times New Roman" w:cs="Traditional Arabic"/>
          <w:sz w:val="28"/>
          <w:szCs w:val="28"/>
          <w:vertAlign w:val="superscript"/>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Pr>
        <w:t>)</w:t>
      </w:r>
      <w:r w:rsidRPr="00964902">
        <w:rPr>
          <w:rFonts w:ascii="Times New Roman" w:hAnsi="Times New Roman" w:cs="Traditional Arabic"/>
          <w:sz w:val="28"/>
          <w:szCs w:val="28"/>
          <w:rtl/>
          <w:lang w:bidi="ar-DZ"/>
        </w:rPr>
        <w:t xml:space="preserve"> محمد أركون، توفيق فهد، جاك لوكوف، العجيب والغريب في إسلام العصر الوسيط، ترجمة وتقديم عبد الجليل بن محمد الأزدي، ط1، مطبعة النجاح الجديدة، الدار البيضاء، 2002، ص19.</w:t>
      </w:r>
    </w:p>
  </w:footnote>
  <w:footnote w:id="8">
    <w:p w:rsidR="009B7327" w:rsidRPr="00964902" w:rsidRDefault="009B7327" w:rsidP="009B7327">
      <w:pPr>
        <w:bidi/>
        <w:spacing w:after="0" w:line="240" w:lineRule="auto"/>
        <w:jc w:val="both"/>
        <w:rPr>
          <w:rFonts w:ascii="Times New Roman" w:hAnsi="Times New Roman" w:cs="Traditional Arabic"/>
          <w:sz w:val="28"/>
          <w:szCs w:val="28"/>
          <w:rtl/>
          <w:lang w:bidi="ar-DZ"/>
        </w:rPr>
      </w:pPr>
      <w:r w:rsidRPr="00964902">
        <w:rPr>
          <w:rFonts w:ascii="Times New Roman" w:hAnsi="Times New Roman" w:cs="Traditional Arabic"/>
          <w:sz w:val="28"/>
          <w:szCs w:val="28"/>
          <w:vertAlign w:val="superscript"/>
        </w:rPr>
        <w:t>(</w:t>
      </w:r>
      <w:r w:rsidRPr="00964902">
        <w:rPr>
          <w:rStyle w:val="Appelnotedebasdep"/>
          <w:rFonts w:ascii="Times New Roman" w:hAnsi="Times New Roman" w:cs="Traditional Arabic"/>
          <w:sz w:val="28"/>
          <w:szCs w:val="28"/>
        </w:rPr>
        <w:footnoteRef/>
      </w:r>
      <w:r w:rsidRPr="00964902">
        <w:rPr>
          <w:rFonts w:ascii="Times New Roman" w:hAnsi="Times New Roman" w:cs="Traditional Arabic"/>
          <w:sz w:val="28"/>
          <w:szCs w:val="28"/>
          <w:vertAlign w:val="superscript"/>
        </w:rPr>
        <w:t>)</w:t>
      </w:r>
      <w:r w:rsidRPr="00964902">
        <w:rPr>
          <w:rFonts w:ascii="Times New Roman" w:hAnsi="Times New Roman" w:cs="Traditional Arabic"/>
          <w:sz w:val="28"/>
          <w:szCs w:val="28"/>
          <w:rtl/>
          <w:lang w:bidi="ar-DZ"/>
        </w:rPr>
        <w:t xml:space="preserve"> ينظر، ضياء الكعبي، السّرد العربي القديم، ص34.</w:t>
      </w:r>
    </w:p>
  </w:footnote>
  <w:footnote w:id="9">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rPr>
        <w:t>عبد المالك مرتاض، الميثولوجيا عند العرب، دراسة المجموعة من الأساطير والمعتقدات العربية القديمة، المؤسسة الوطنية للكتاب، ) الجزائر، الدار التونسية للنشر والتوزيع، 1989، ص 17.</w:t>
      </w:r>
    </w:p>
  </w:footnote>
  <w:footnote w:id="10">
    <w:p w:rsidR="009B7327" w:rsidRPr="00964902" w:rsidRDefault="009B7327" w:rsidP="009B7327">
      <w:pPr>
        <w:bidi/>
        <w:spacing w:after="0" w:line="240" w:lineRule="auto"/>
        <w:jc w:val="both"/>
        <w:rPr>
          <w:rFonts w:asciiTheme="majorBidi" w:hAnsiTheme="majorBidi" w:cs="Traditional Arabic"/>
          <w:sz w:val="28"/>
          <w:szCs w:val="28"/>
          <w:rtl/>
          <w:lang w:bidi="ar-DZ"/>
        </w:rPr>
      </w:pPr>
      <w:r w:rsidRPr="00964902">
        <w:rPr>
          <w:rStyle w:val="Appelnotedebasdep"/>
          <w:rFonts w:asciiTheme="majorBidi" w:hAnsiTheme="majorBidi" w:cs="Traditional Arabic"/>
          <w:sz w:val="28"/>
          <w:szCs w:val="28"/>
          <w:rtl/>
        </w:rPr>
        <w:t>*</w:t>
      </w:r>
      <w:r w:rsidRPr="00964902">
        <w:rPr>
          <w:rFonts w:asciiTheme="majorBidi" w:hAnsiTheme="majorBidi" w:cs="Traditional Arabic"/>
          <w:sz w:val="28"/>
          <w:szCs w:val="28"/>
        </w:rPr>
        <w:t xml:space="preserve"> </w:t>
      </w:r>
      <w:r w:rsidRPr="00964902">
        <w:rPr>
          <w:rFonts w:asciiTheme="majorBidi" w:hAnsiTheme="majorBidi" w:cs="Traditional Arabic"/>
          <w:sz w:val="28"/>
          <w:szCs w:val="28"/>
          <w:rtl/>
        </w:rPr>
        <w:t>النص وإن كان يستمد شعريته من مادة إسلامية، فإنه يتحرر من مختلف سيماتها ويتعامل معها بشكل طليق فهناك العديد من المغالطات التاريخية والجغرافية.</w:t>
      </w:r>
    </w:p>
  </w:footnote>
  <w:footnote w:id="11">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E94F56">
        <w:rPr>
          <w:rFonts w:asciiTheme="majorBidi" w:hAnsiTheme="majorBidi" w:cs="Traditional Arabic" w:hint="cs"/>
          <w:sz w:val="28"/>
          <w:szCs w:val="28"/>
          <w:rtl/>
        </w:rPr>
        <w:t xml:space="preserve">ينظر، </w:t>
      </w:r>
      <w:r w:rsidRPr="00964902">
        <w:rPr>
          <w:rFonts w:asciiTheme="majorBidi" w:hAnsiTheme="majorBidi" w:cs="Traditional Arabic"/>
          <w:sz w:val="28"/>
          <w:szCs w:val="28"/>
          <w:rtl/>
          <w:lang w:bidi="ar-DZ"/>
        </w:rPr>
        <w:t xml:space="preserve">أبو </w:t>
      </w:r>
      <w:r w:rsidRPr="007448E7">
        <w:rPr>
          <w:rFonts w:asciiTheme="majorBidi" w:hAnsiTheme="majorBidi" w:cs="Traditional Arabic"/>
          <w:sz w:val="28"/>
          <w:szCs w:val="28"/>
          <w:rtl/>
          <w:lang w:bidi="ar-DZ"/>
        </w:rPr>
        <w:t>عمر بن</w:t>
      </w:r>
      <w:r w:rsidRPr="00964902">
        <w:rPr>
          <w:rFonts w:asciiTheme="majorBidi" w:hAnsiTheme="majorBidi" w:cs="Traditional Arabic"/>
          <w:sz w:val="28"/>
          <w:szCs w:val="28"/>
          <w:rtl/>
          <w:lang w:bidi="ar-DZ"/>
        </w:rPr>
        <w:t xml:space="preserve"> عبد الملك الزغبي، كرامات الأولياء، ص22.</w:t>
      </w:r>
    </w:p>
  </w:footnote>
  <w:footnote w:id="12">
    <w:p w:rsidR="009B7327" w:rsidRPr="00964902" w:rsidRDefault="009B7327" w:rsidP="009B7327">
      <w:pPr>
        <w:bidi/>
        <w:spacing w:after="0" w:line="240" w:lineRule="auto"/>
        <w:jc w:val="both"/>
        <w:rPr>
          <w:rFonts w:asciiTheme="majorBidi" w:hAnsiTheme="majorBidi" w:cs="Traditional Arabic"/>
          <w:sz w:val="28"/>
          <w:szCs w:val="28"/>
          <w:rtl/>
          <w:lang w:bidi="ar-DZ"/>
        </w:rPr>
      </w:pPr>
      <w:r w:rsidRPr="009A0C39">
        <w:rPr>
          <w:rFonts w:asciiTheme="majorBidi" w:hAnsiTheme="majorBidi" w:cs="Traditional Arabic" w:hint="cs"/>
          <w:sz w:val="28"/>
          <w:szCs w:val="28"/>
          <w:vertAlign w:val="superscript"/>
          <w:rtl/>
        </w:rPr>
        <w:t>*</w:t>
      </w:r>
      <w:r w:rsidRPr="00964902">
        <w:rPr>
          <w:rStyle w:val="Appelnotedebasdep"/>
          <w:rFonts w:asciiTheme="majorBidi" w:hAnsiTheme="majorBidi" w:cs="Traditional Arabic"/>
          <w:sz w:val="28"/>
          <w:szCs w:val="28"/>
          <w:rtl/>
        </w:rPr>
        <w:t>*</w:t>
      </w:r>
      <w:r w:rsidRPr="00964902">
        <w:rPr>
          <w:rFonts w:asciiTheme="majorBidi" w:hAnsiTheme="majorBidi" w:cs="Traditional Arabic"/>
          <w:sz w:val="28"/>
          <w:szCs w:val="28"/>
        </w:rPr>
        <w:t xml:space="preserve"> </w:t>
      </w:r>
      <w:r w:rsidRPr="00964902">
        <w:rPr>
          <w:rFonts w:asciiTheme="majorBidi" w:hAnsiTheme="majorBidi" w:cs="Traditional Arabic"/>
          <w:sz w:val="28"/>
          <w:szCs w:val="28"/>
          <w:rtl/>
          <w:lang w:bidi="ar-DZ"/>
        </w:rPr>
        <w:t>لقد تعددت الحدود والتعريفات بخصوص "الكرامة" ربما بحسب مواقفهم منها، وهي مواقف ترجحت بين القبول والرفض والتحفظ طوال تاريخ التصوف اسطوغرافيا، الولاية في الفكر المغربي والعربي الإسلامي، ونحن لا يعنينا الدفاع عن صحة تحديد معين أو دفع خطأ غيره، ولكن همنا التمهيد لدراسة نصوص الكرامات، الموجودة في الرحلات الزيارية، وتؤكد مرة أخرى أن الهدف من جرد الكرامات، لا يتصل بالدفاع عن معقوليتها وثبوتيتها ولا الدخول في رفضها أو تبخيسها، إن هي إلا متون الاشتغال والتفكير، بعيدا عن الاحتفاء أو الإنكار.</w:t>
      </w:r>
    </w:p>
  </w:footnote>
  <w:footnote w:id="13">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lang w:bidi="ar-DZ"/>
        </w:rPr>
        <w:t>المرجع نفسه، ص23.</w:t>
      </w:r>
    </w:p>
  </w:footnote>
  <w:footnote w:id="14">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lang w:bidi="ar-DZ"/>
        </w:rPr>
        <w:t>عبد الله بن عتو، أدب الكرامات، من ميثاق الثقة إلى خطاب التماهي، دار الأمان، ط1، 2014، الرباط، المغرب، ص53</w:t>
      </w:r>
    </w:p>
  </w:footnote>
  <w:footnote w:id="15">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lang w:bidi="ar-DZ"/>
        </w:rPr>
        <w:t>يوسف بن إسماعيل النبهاني، جامع كرامات الأولياء، المكتبة العصرية، بيروت، ط1، 2001، ص47.</w:t>
      </w:r>
    </w:p>
  </w:footnote>
  <w:footnote w:id="16">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lang w:bidi="ar-DZ"/>
        </w:rPr>
        <w:t>الميلودي شغموم، المتخيل والقدسي في التصوف الإسلامي، الحكاية والبركة، ص27.</w:t>
      </w:r>
    </w:p>
  </w:footnote>
  <w:footnote w:id="17">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rtl/>
          <w:lang w:bidi="ar-DZ"/>
        </w:rPr>
        <w:t xml:space="preserve"> </w:t>
      </w:r>
      <w:r w:rsidRPr="007448E7">
        <w:rPr>
          <w:rFonts w:ascii="Times New Roman" w:hAnsi="Times New Roman" w:cs="Traditional Arabic"/>
          <w:sz w:val="28"/>
          <w:szCs w:val="28"/>
          <w:rtl/>
          <w:lang w:bidi="ar-DZ"/>
        </w:rPr>
        <w:t>الخامسة</w:t>
      </w:r>
      <w:r w:rsidRPr="00964902">
        <w:rPr>
          <w:rFonts w:ascii="Times New Roman" w:hAnsi="Times New Roman" w:cs="Traditional Arabic"/>
          <w:sz w:val="28"/>
          <w:szCs w:val="28"/>
          <w:rtl/>
          <w:lang w:bidi="ar-DZ"/>
        </w:rPr>
        <w:t xml:space="preserve"> علاوي، العجائبية في أدب الرحلات، رحلة ابن فضلان نموذج</w:t>
      </w:r>
      <w:r w:rsidRPr="00964902">
        <w:rPr>
          <w:rFonts w:ascii="Times New Roman" w:hAnsi="Times New Roman" w:cs="Traditional Arabic" w:hint="cs"/>
          <w:sz w:val="28"/>
          <w:szCs w:val="28"/>
          <w:rtl/>
          <w:lang w:bidi="ar-DZ"/>
        </w:rPr>
        <w:t>ً</w:t>
      </w:r>
      <w:r w:rsidRPr="00964902">
        <w:rPr>
          <w:rFonts w:ascii="Times New Roman" w:hAnsi="Times New Roman" w:cs="Traditional Arabic"/>
          <w:sz w:val="28"/>
          <w:szCs w:val="28"/>
          <w:rtl/>
          <w:lang w:bidi="ar-DZ"/>
        </w:rPr>
        <w:t xml:space="preserve">ا، منشورات جامعة متنوري، قسنطينة، 2006، </w:t>
      </w:r>
      <w:r w:rsidRPr="00964902">
        <w:rPr>
          <w:rFonts w:ascii="Times New Roman" w:hAnsi="Times New Roman" w:cs="Traditional Arabic" w:hint="cs"/>
          <w:sz w:val="28"/>
          <w:szCs w:val="28"/>
          <w:rtl/>
          <w:lang w:bidi="ar-DZ"/>
        </w:rPr>
        <w:t>ص31.</w:t>
      </w:r>
    </w:p>
  </w:footnote>
  <w:footnote w:id="18">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rPr>
        <w:t>كراتشكو فسكي، تاريخ الأدب الجغرافي العربي، ج1، ص 51.</w:t>
      </w:r>
    </w:p>
  </w:footnote>
  <w:footnote w:id="19">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rPr>
        <w:t>القزويني، عجائب المخلوقات وغرائب الموجودات، ص158</w:t>
      </w:r>
      <w:r>
        <w:rPr>
          <w:rFonts w:asciiTheme="majorBidi" w:hAnsiTheme="majorBidi" w:cs="Traditional Arabic" w:hint="cs"/>
          <w:sz w:val="28"/>
          <w:szCs w:val="28"/>
          <w:rtl/>
        </w:rPr>
        <w:t>.</w:t>
      </w:r>
    </w:p>
  </w:footnote>
  <w:footnote w:id="20">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E94F56">
        <w:rPr>
          <w:rFonts w:asciiTheme="majorBidi" w:hAnsiTheme="majorBidi" w:cs="Traditional Arabic" w:hint="cs"/>
          <w:sz w:val="28"/>
          <w:szCs w:val="28"/>
          <w:rtl/>
        </w:rPr>
        <w:t xml:space="preserve">ينظر، </w:t>
      </w:r>
      <w:r w:rsidRPr="00964902">
        <w:rPr>
          <w:rFonts w:asciiTheme="majorBidi" w:hAnsiTheme="majorBidi" w:cs="Traditional Arabic"/>
          <w:sz w:val="28"/>
          <w:szCs w:val="28"/>
          <w:rtl/>
        </w:rPr>
        <w:t>ألف ليلة وليلة، ج1، الدار النموذجية للطباعة والنشر، (د، ط)، لبنان 1428/2007، ص 18</w:t>
      </w:r>
      <w:r>
        <w:rPr>
          <w:rFonts w:asciiTheme="majorBidi" w:hAnsiTheme="majorBidi" w:cs="Traditional Arabic" w:hint="cs"/>
          <w:sz w:val="28"/>
          <w:szCs w:val="28"/>
          <w:rtl/>
        </w:rPr>
        <w:t>.</w:t>
      </w:r>
    </w:p>
  </w:footnote>
  <w:footnote w:id="21">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rPr>
        <w:t>ألف ليلة وليلة، ج2، ص 294.</w:t>
      </w:r>
    </w:p>
  </w:footnote>
  <w:footnote w:id="22">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sz w:val="28"/>
          <w:szCs w:val="28"/>
          <w:rtl/>
        </w:rPr>
        <w:t>ألف ليلة وليلة، ج1، ص 13</w:t>
      </w:r>
    </w:p>
  </w:footnote>
  <w:footnote w:id="23">
    <w:p w:rsidR="009B7327" w:rsidRPr="00964902" w:rsidRDefault="009B7327" w:rsidP="009B7327">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rtl/>
          <w:lang w:bidi="ar-DZ"/>
        </w:rPr>
        <w:t xml:space="preserve"> </w:t>
      </w:r>
      <w:r w:rsidRPr="00964902">
        <w:rPr>
          <w:rFonts w:asciiTheme="majorBidi" w:hAnsiTheme="majorBidi" w:cs="Traditional Arabic"/>
          <w:sz w:val="28"/>
          <w:szCs w:val="28"/>
          <w:rtl/>
        </w:rPr>
        <w:t>ألف ليلة وليلة، ج4، ص 177</w:t>
      </w:r>
      <w:r w:rsidRPr="00964902">
        <w:rPr>
          <w:rFonts w:asciiTheme="majorBidi" w:hAnsiTheme="majorBidi" w:cs="Traditional Arabic" w:hint="cs"/>
          <w:sz w:val="28"/>
          <w:szCs w:val="2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1A58"/>
    <w:multiLevelType w:val="hybridMultilevel"/>
    <w:tmpl w:val="03F8C4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7327"/>
    <w:rsid w:val="003C65DE"/>
    <w:rsid w:val="005A4FF5"/>
    <w:rsid w:val="008A1CEF"/>
    <w:rsid w:val="008C0A83"/>
    <w:rsid w:val="00920806"/>
    <w:rsid w:val="009B7327"/>
    <w:rsid w:val="00CF3546"/>
    <w:rsid w:val="00E47D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27"/>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327"/>
    <w:pPr>
      <w:ind w:left="720"/>
      <w:contextualSpacing/>
    </w:pPr>
  </w:style>
  <w:style w:type="paragraph" w:styleId="Notedebasdepage">
    <w:name w:val="footnote text"/>
    <w:basedOn w:val="Normal"/>
    <w:link w:val="NotedebasdepageCar"/>
    <w:uiPriority w:val="99"/>
    <w:unhideWhenUsed/>
    <w:rsid w:val="009B7327"/>
    <w:pPr>
      <w:spacing w:after="0" w:line="240" w:lineRule="auto"/>
    </w:pPr>
    <w:rPr>
      <w:sz w:val="20"/>
      <w:szCs w:val="20"/>
    </w:rPr>
  </w:style>
  <w:style w:type="character" w:customStyle="1" w:styleId="NotedebasdepageCar">
    <w:name w:val="Note de bas de page Car"/>
    <w:basedOn w:val="Policepardfaut"/>
    <w:link w:val="Notedebasdepage"/>
    <w:uiPriority w:val="99"/>
    <w:rsid w:val="009B7327"/>
    <w:rPr>
      <w:rFonts w:ascii="Simplified Arabic" w:hAnsi="Simplified Arabic" w:cs="Simplified Arabic"/>
      <w:sz w:val="20"/>
      <w:szCs w:val="20"/>
    </w:rPr>
  </w:style>
  <w:style w:type="character" w:styleId="Appelnotedebasdep">
    <w:name w:val="footnote reference"/>
    <w:basedOn w:val="Policepardfaut"/>
    <w:uiPriority w:val="99"/>
    <w:semiHidden/>
    <w:unhideWhenUsed/>
    <w:rsid w:val="009B73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1789</Words>
  <Characters>9845</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2021-11-04T10:40:00Z</dcterms:created>
  <dcterms:modified xsi:type="dcterms:W3CDTF">2021-11-04T10:40:00Z</dcterms:modified>
</cp:coreProperties>
</file>