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F1" w:rsidRDefault="007B42F1" w:rsidP="007B42F1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جامعة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مسيلة</w:t>
      </w:r>
    </w:p>
    <w:p w:rsidR="007B42F1" w:rsidRDefault="007B42F1" w:rsidP="007B42F1">
      <w:pPr>
        <w:spacing w:after="0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كلية الحقوق والعلوم السياسية – قسم الحقـــــــوق</w:t>
      </w:r>
    </w:p>
    <w:p w:rsidR="007B42F1" w:rsidRDefault="007B42F1" w:rsidP="007B42F1">
      <w:pPr>
        <w:spacing w:after="0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دروس على الخط</w:t>
      </w:r>
      <w:r>
        <w:rPr>
          <w:rFonts w:ascii="Sakkal Majalla" w:hAnsi="Sakkal Majalla" w:cs="Sakkal Majalla"/>
          <w:sz w:val="32"/>
          <w:szCs w:val="32"/>
          <w:rtl/>
        </w:rPr>
        <w:t xml:space="preserve"> ـ  من </w:t>
      </w:r>
      <w:r>
        <w:rPr>
          <w:rFonts w:ascii="Sakkal Majalla" w:hAnsi="Sakkal Majalla" w:cs="Sakkal Majalla" w:hint="cs"/>
          <w:sz w:val="32"/>
          <w:szCs w:val="32"/>
          <w:rtl/>
        </w:rPr>
        <w:t>إعداد</w:t>
      </w:r>
      <w:r>
        <w:rPr>
          <w:rFonts w:ascii="Sakkal Majalla" w:hAnsi="Sakkal Majalla" w:cs="Sakkal Majalla"/>
          <w:sz w:val="32"/>
          <w:szCs w:val="32"/>
          <w:rtl/>
        </w:rPr>
        <w:t xml:space="preserve"> الأستاذ/ بن النوي زبير                                                                                     </w:t>
      </w:r>
      <w:proofErr w:type="spellStart"/>
      <w:r>
        <w:rPr>
          <w:rFonts w:ascii="Sakkal Majalla" w:hAnsi="Sakkal Majalla" w:cs="Sakkal Majalla"/>
          <w:sz w:val="32"/>
          <w:szCs w:val="32"/>
        </w:rPr>
        <w:t>zoubir.</w:t>
      </w:r>
      <w:proofErr w:type="gramStart"/>
      <w:r>
        <w:rPr>
          <w:rFonts w:ascii="Sakkal Majalla" w:hAnsi="Sakkal Majalla" w:cs="Sakkal Majalla"/>
          <w:sz w:val="32"/>
          <w:szCs w:val="32"/>
        </w:rPr>
        <w:t>bennou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i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 a </w:t>
      </w:r>
      <w:proofErr w:type="spellStart"/>
      <w:r>
        <w:rPr>
          <w:rFonts w:ascii="Sakkal Majalla" w:hAnsi="Sakkal Majalla" w:cs="Sakkal Majalla"/>
          <w:sz w:val="32"/>
          <w:szCs w:val="32"/>
        </w:rPr>
        <w:t>univ</w:t>
      </w:r>
      <w:proofErr w:type="spellEnd"/>
      <w:r>
        <w:rPr>
          <w:rFonts w:ascii="Sakkal Majalla" w:hAnsi="Sakkal Majalla" w:cs="Sakkal Majalla" w:hint="cs"/>
          <w:sz w:val="32"/>
          <w:szCs w:val="32"/>
          <w:lang w:bidi="ar-DZ"/>
        </w:rPr>
        <w:t>-</w:t>
      </w:r>
      <w:proofErr w:type="spellStart"/>
      <w:r>
        <w:rPr>
          <w:rFonts w:ascii="Sakkal Majalla" w:hAnsi="Sakkal Majalla" w:cs="Sakkal Majalla" w:hint="cs"/>
          <w:sz w:val="32"/>
          <w:szCs w:val="32"/>
          <w:lang w:bidi="ar-DZ"/>
        </w:rPr>
        <w:t>msila</w:t>
      </w:r>
      <w:proofErr w:type="spellEnd"/>
      <w:r>
        <w:rPr>
          <w:rFonts w:ascii="Sakkal Majalla" w:hAnsi="Sakkal Majalla" w:cs="Sakkal Majalla"/>
          <w:sz w:val="32"/>
          <w:szCs w:val="32"/>
          <w:lang w:bidi="ar-DZ"/>
        </w:rPr>
        <w:t> 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>
        <w:rPr>
          <w:rFonts w:ascii="Sakkal Majalla" w:hAnsi="Sakkal Majalla" w:cs="Sakkal Majalla"/>
          <w:sz w:val="32"/>
          <w:szCs w:val="32"/>
          <w:lang w:bidi="ar-DZ"/>
        </w:rPr>
        <w:t>dz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                                        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:rsidR="007B42F1" w:rsidRDefault="007B42F1" w:rsidP="007B42F1">
      <w:pPr>
        <w:spacing w:after="0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م</w:t>
      </w:r>
      <w:r>
        <w:rPr>
          <w:rFonts w:ascii="Sakkal Majalla" w:hAnsi="Sakkal Majalla" w:cs="Sakkal Majalla" w:hint="cs"/>
          <w:sz w:val="32"/>
          <w:szCs w:val="32"/>
          <w:rtl/>
        </w:rPr>
        <w:t>ـــــــ</w:t>
      </w:r>
      <w:r>
        <w:rPr>
          <w:rFonts w:ascii="Sakkal Majalla" w:hAnsi="Sakkal Majalla" w:cs="Sakkal Majalla"/>
          <w:sz w:val="32"/>
          <w:szCs w:val="32"/>
          <w:rtl/>
        </w:rPr>
        <w:t xml:space="preserve">ادة/ </w:t>
      </w:r>
      <w:r>
        <w:rPr>
          <w:rFonts w:ascii="Sakkal Majalla" w:hAnsi="Sakkal Majalla" w:cs="Sakkal Majalla" w:hint="cs"/>
          <w:sz w:val="32"/>
          <w:szCs w:val="32"/>
          <w:rtl/>
        </w:rPr>
        <w:t>القانون الإداري  -  السنـــــــــة الأولى  - السنة الجامعية 2020 ـ 2021</w:t>
      </w:r>
    </w:p>
    <w:p w:rsidR="007B42F1" w:rsidRDefault="007B42F1" w:rsidP="007B42F1">
      <w:pPr>
        <w:spacing w:after="0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ــــــــــــــــــــــــــــــــــــــــــــــــــــــــــــــ</w:t>
      </w:r>
    </w:p>
    <w:p w:rsidR="007B42F1" w:rsidRDefault="007B42F1" w:rsidP="007B42F1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</w:pPr>
    </w:p>
    <w:p w:rsidR="007B42F1" w:rsidRDefault="007B42F1" w:rsidP="007B42F1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</w:pPr>
    </w:p>
    <w:p w:rsidR="007B42F1" w:rsidRPr="003B041E" w:rsidRDefault="003A3DD4" w:rsidP="007B42F1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3B04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المح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ــــــــــــــ</w:t>
      </w:r>
      <w:r w:rsidRPr="003B04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ور الث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ــــــــــــ</w:t>
      </w:r>
      <w:r w:rsidRPr="003B04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اني: التنظي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ـــــــــــــــ</w:t>
      </w:r>
      <w:r w:rsidRPr="003B04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م </w:t>
      </w:r>
      <w:proofErr w:type="spellStart"/>
      <w:r w:rsidRPr="003B041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الاداري</w:t>
      </w:r>
      <w:proofErr w:type="spellEnd"/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دراسة التنظيم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يقتضي البحث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الاساس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القانوني الذي يقوم عليه وكذا التطرق الى تطبيقات التنظيم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الدولة.</w:t>
      </w:r>
    </w:p>
    <w:p w:rsidR="003A3DD4" w:rsidRPr="007F30D5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F30D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أولا: </w:t>
      </w:r>
      <w:proofErr w:type="spellStart"/>
      <w:r w:rsidRPr="007F30D5">
        <w:rPr>
          <w:rFonts w:ascii="Sakkal Majalla" w:hAnsi="Sakkal Majalla" w:cs="Sakkal Majalla" w:hint="cs"/>
          <w:b/>
          <w:bCs/>
          <w:sz w:val="32"/>
          <w:szCs w:val="32"/>
          <w:rtl/>
        </w:rPr>
        <w:t>اساس</w:t>
      </w:r>
      <w:proofErr w:type="spellEnd"/>
      <w:r w:rsidRPr="007F30D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التنظيم </w:t>
      </w:r>
      <w:proofErr w:type="spellStart"/>
      <w:r w:rsidRPr="007F30D5">
        <w:rPr>
          <w:rFonts w:ascii="Sakkal Majalla" w:hAnsi="Sakkal Majalla" w:cs="Sakkal Majalla" w:hint="cs"/>
          <w:b/>
          <w:bCs/>
          <w:sz w:val="32"/>
          <w:szCs w:val="32"/>
          <w:rtl/>
        </w:rPr>
        <w:t>الاداري</w:t>
      </w:r>
      <w:proofErr w:type="spellEnd"/>
      <w:r w:rsidRPr="007F30D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 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يقوم التنظيم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اساس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قانوني يتمثل في الشخصية المعنوية المعترف بها قانونا لهيئات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اساسها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تمارس اختصاصات محددة في القانون الذي يمنحها هذه الشخصية, وعلى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اساس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هذه الفكرة يمكن تنظيم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وفق احد الصور المعروفة 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بناء على المركزية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واما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بناء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الامركزية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3A3DD4" w:rsidRPr="001E1F6D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1E1F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1/ </w:t>
      </w:r>
      <w:proofErr w:type="gramStart"/>
      <w:r w:rsidRPr="001E1F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الشخصية</w:t>
      </w:r>
      <w:proofErr w:type="gramEnd"/>
      <w:r w:rsidRPr="001E1F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المعنوية: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يعبر عليها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ايضا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بالشخصية الاعتبارية ويقصد بها مجموعة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اموال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ترصد لتحقيق غرض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هدف مشروع بعد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يعترف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لها القانون بهذا الوجود المادي، الشيء الذي يمكنها من اكتساب الحقوق وتحمل الالتزامات عبر اكتسابها لذمة مالية مستقلة عن الذمة المالية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المكونين لهذه الشخصية المعنوية . ويقابل الشخصية المعنوية الشخصية الطبيعية التي تكون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للافراد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3A3DD4" w:rsidRPr="00F9644A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F9644A">
        <w:rPr>
          <w:rFonts w:ascii="Sakkal Majalla" w:hAnsi="Sakkal Majalla" w:cs="Sakkal Majalla" w:hint="cs"/>
          <w:b/>
          <w:bCs/>
          <w:sz w:val="32"/>
          <w:szCs w:val="32"/>
          <w:rtl/>
        </w:rPr>
        <w:t>اهمية</w:t>
      </w:r>
      <w:proofErr w:type="spellEnd"/>
      <w:r w:rsidRPr="00F9644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الشخصية المعنوية: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يمكن تلخيصها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بايجاز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كما يلي:</w:t>
      </w:r>
    </w:p>
    <w:p w:rsidR="003A3DD4" w:rsidRDefault="003A3DD4" w:rsidP="003A3DD4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مناط الذمة المالية ومبرر وجودها الشخصية الطبيعية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المعنوية.</w:t>
      </w:r>
    </w:p>
    <w:p w:rsidR="003A3DD4" w:rsidRDefault="003A3DD4" w:rsidP="003A3DD4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لا يمكن الحديث عن التنظيم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بدون شخصية معنوية سواء تلك المعترف بها للدولة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الولاية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البلدية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أي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عمومية.</w:t>
      </w:r>
    </w:p>
    <w:p w:rsidR="003A3DD4" w:rsidRDefault="003A3DD4" w:rsidP="003A3DD4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عدم الاعتراف لكيان ما بالشخصية المعنوية يجعله دائما في تبعية لهيئة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اخرى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يعترف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لها المشرع بهذه الحق مثل الدائرة التابعة للولاية.</w:t>
      </w:r>
    </w:p>
    <w:p w:rsidR="003A3DD4" w:rsidRDefault="003A3DD4" w:rsidP="003A3DD4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مناط الاختصاصات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الشخصية المعنوية، فبعد الاعتراف لهيئة ما بهذا النظام يحدد لها القانون اختصاصات تنسجم وطابعها القانوني ومع الذمة المالية المعترف بها لهذا الكيان الجديد.</w:t>
      </w:r>
    </w:p>
    <w:p w:rsidR="003A3DD4" w:rsidRDefault="003A3DD4" w:rsidP="003A3DD4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مناط المسؤولية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الشخصية المعنوية 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لا يمكن تحميل كيان ما بالمسؤولية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لم يكن متمتع بالشخصية المعنوية.</w:t>
      </w:r>
    </w:p>
    <w:p w:rsidR="003A3DD4" w:rsidRDefault="003A3DD4" w:rsidP="003A3DD4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القانون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هم شخصيات معنوية وليس طبيعية.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3A3DD4" w:rsidRPr="00484041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484041">
        <w:rPr>
          <w:rFonts w:ascii="Sakkal Majalla" w:hAnsi="Sakkal Majalla" w:cs="Sakkal Majalla" w:hint="cs"/>
          <w:b/>
          <w:bCs/>
          <w:sz w:val="32"/>
          <w:szCs w:val="32"/>
          <w:rtl/>
        </w:rPr>
        <w:t>اركان</w:t>
      </w:r>
      <w:proofErr w:type="spellEnd"/>
      <w:r w:rsidRPr="004840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الشخص المعنوي العام: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1ـ تجمع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اموال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</w:rPr>
        <w:t>2 ـ الغرض المشروع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يجب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يكون الهدف من هذا التجمع مشروعا.</w:t>
      </w:r>
    </w:p>
    <w:p w:rsidR="003A3DD4" w:rsidRPr="001E1F6D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 ـ الاعتراف: يصدر عن الجهات المختصة وفق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الاليات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القانونية الصحيحة، فمثلا اكتمال الشخصية المعنوية للجماعات المحلية يكون بصدور قانون عن السلطة التشريعية.</w:t>
      </w:r>
    </w:p>
    <w:p w:rsidR="003A3DD4" w:rsidRPr="00297ED2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7ED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موقف الفقه من الشخصية المعنوية: 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اغلب الفقهاء تعاملوا مع هذا الكيان بايجابية وانغمس الجميع في عملية بحث تأصيل هذه الفكرة ولكن هناك فريق آخر عارض هذه الفكرة وعلى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راسهم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الفقيه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دوجي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3A3DD4" w:rsidRPr="00375680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7568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الموقف الرافض للشخصية المعنوية:  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انتقد بعض من الفقه فكرة الشخصية المعنوية وعلى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راسهم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دوجي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الذي عارها بشده كونه رجل قانون ينتمي للمدرسة الوضعية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لايؤمن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بالميتافزيقية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، فحسبه لا وجود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قانونية معنوية هناك فقط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افراد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وذمم مالية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لهاؤلاء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الافراد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. وتسند له مقولة ساخرة مفادها حيث قال"لم يسبق لي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ابدا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تناولت الغذاء مع شخص اعتباري".</w:t>
      </w:r>
    </w:p>
    <w:p w:rsidR="003A3DD4" w:rsidRPr="00375680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37568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النظريات المؤصلة للشخصية المعنوية:</w:t>
      </w:r>
    </w:p>
    <w:p w:rsidR="003A3DD4" w:rsidRDefault="003A3DD4" w:rsidP="003A3DD4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القسم المشترك بين هذه النظريات موافقتها على الوجود القانوني للشخصية المعنوية ولكنهم يختلفون حول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اساس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هذا النظام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تأصيله على فكرة معينة.</w:t>
      </w:r>
    </w:p>
    <w:p w:rsidR="003A3DD4" w:rsidRPr="00C769D4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769D4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 xml:space="preserve">1/ نظرية الوهم الشرعي </w:t>
      </w:r>
      <w:proofErr w:type="spellStart"/>
      <w:r w:rsidRPr="00C769D4">
        <w:rPr>
          <w:rFonts w:ascii="Sakkal Majalla" w:hAnsi="Sakkal Majalla" w:cs="Sakkal Majalla" w:hint="cs"/>
          <w:b/>
          <w:bCs/>
          <w:sz w:val="32"/>
          <w:szCs w:val="32"/>
          <w:rtl/>
        </w:rPr>
        <w:t>او</w:t>
      </w:r>
      <w:proofErr w:type="spellEnd"/>
      <w:r w:rsidRPr="00C769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المجاز القانوني: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تقبل بالملاحظة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الاولية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لدوجي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بانه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لا وجود جسدي لشخص معنوي ولكن هذا لا يمنع الاعتراف بالوجود القانوني لتجمعات مشكلة من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افراد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من المصالح الجماعية للوصول الى نتيجة يسمح بها القانون عبر الاعتراف بالشخصية المعنوية.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اساس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هذه النظرية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الحق لا يوجد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اذا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وجدت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ارادة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وهذه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لايملكها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الانسان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، والشخص المعنوي مجاز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حيلة للاعتراف له بحقوق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بارادة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المشرع.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وقد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تعرضت النظرية للنقد التالي: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  تعجز عن تفسير وجود الشخصية الاعتبارية للدولة. مما جعل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انصار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هذه النظرية اعتبار الدولة الشخص المعنوي الوحيد الذي يوص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بالاصيل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والحقيقي.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 هذه النظرية تطلق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بد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الدولة في التحكم في مصير الجماعات والتجمعات.</w:t>
      </w:r>
    </w:p>
    <w:p w:rsidR="003A3DD4" w:rsidRPr="00C769D4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769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2/ نظرية الوجود الحقيقي للشخصية المعنوية:  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  مفادها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الشخصية المعنوية لها وجود حقيقي يكتفي القانون بملاحظتها، من روادها جباك و كاري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دومالبارغ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، ويعتبرون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الشخصية المعنوية تدوم وتستمر حتى مع اختفاء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الطبيعية المكونة لها  وبالتالي هي حقيقة وليس اختراع 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ولكن هذه النظرية تقع في الخطأ عندما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تحاول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تفسير الشخصية المعنوية وفق النظرية العضوية.</w:t>
      </w:r>
    </w:p>
    <w:p w:rsidR="003A3DD4" w:rsidRPr="007A21DA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A21DA">
        <w:rPr>
          <w:rFonts w:ascii="Sakkal Majalla" w:hAnsi="Sakkal Majalla" w:cs="Sakkal Majalla" w:hint="cs"/>
          <w:b/>
          <w:bCs/>
          <w:sz w:val="32"/>
          <w:szCs w:val="32"/>
          <w:rtl/>
        </w:rPr>
        <w:t>3/ نظرية الحقيقة التقنية: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يستعين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انصار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هذه النظرية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افكار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النظريتين السابقتين، وعليه فان الشخصية المعنوية هي فعلا حقيقة ولكنها ليست حقيقة عضوية لان المصالح الجماعية ليس لها نفس طبيعة الشخص الطبيعي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حقيقة مفترضة حتى تكون موضوعا للحقوق فهي نابعة من التقنية القانونية.   </w:t>
      </w:r>
    </w:p>
    <w:p w:rsidR="003A3DD4" w:rsidRPr="007A21DA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7A21DA">
        <w:rPr>
          <w:rFonts w:ascii="Sakkal Majalla" w:hAnsi="Sakkal Majalla" w:cs="Sakkal Majalla" w:hint="cs"/>
          <w:b/>
          <w:bCs/>
          <w:sz w:val="32"/>
          <w:szCs w:val="32"/>
          <w:rtl/>
        </w:rPr>
        <w:t>نتائج الاعتراف بالشخصية المعنوية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حسب المادة 50 من القانون المدني يترتب عن الاعتراف بالشخصية المعنوية النتائج التالية: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1ـ ذمة مالية مستقلة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المكونين لها:   وينتج عن هذا الاعتراف اكتساب الحقوق وتحمل النفقات وممارسة كل السلطات المرتبطة بعملية التسيير المالي لذمتها المالية وكذا تحمل المسؤولية ذات الطابع المالي.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 ـ أهلية في الحدود التي يعينها قانون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انشائها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التي يقررها القانون:  هي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اهلية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فقط دون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اهلية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الوجوب المقررة حصرا للشخص الطبيعي 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3 ـ موطن: يتحدد بالمقر الرئيسي للشخص المعنوي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ادارته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العامة.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4 ـ نائب يعبر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ارادتها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هو شخص طبيعي يعبر يمثل الشخص المعنوي ويعبر عن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ارادته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في أي تصرف 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5 ـ  حق التقاضي: بالنظر 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الحق مصلحة يحميها القانون وبالنظر الى امتلاك الشخص المعنوي لذمة مالية مستقلة فانه مؤهل للتقاضي سواء كمدي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مدعى عليه.</w:t>
      </w:r>
    </w:p>
    <w:p w:rsidR="003A3DD4" w:rsidRPr="0027725B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أنواع الأ</w:t>
      </w:r>
      <w:r w:rsidRPr="0027725B">
        <w:rPr>
          <w:rFonts w:ascii="Sakkal Majalla" w:hAnsi="Sakkal Majalla" w:cs="Sakkal Majalla" w:hint="cs"/>
          <w:b/>
          <w:bCs/>
          <w:sz w:val="32"/>
          <w:szCs w:val="32"/>
          <w:rtl/>
        </w:rPr>
        <w:t>شخ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اص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المعنوية</w:t>
      </w:r>
      <w:proofErr w:type="gramEnd"/>
      <w:r w:rsidRPr="0027725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27725B">
        <w:rPr>
          <w:rFonts w:ascii="Sakkal Majalla" w:hAnsi="Sakkal Majalla" w:cs="Sakkal Majalla" w:hint="cs"/>
          <w:sz w:val="32"/>
          <w:szCs w:val="32"/>
          <w:rtl/>
        </w:rPr>
        <w:t>هناك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نوعين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معنوية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مرفقية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معنوية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. وقد تناولت المادة 49 من القانون المدني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العامة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سبيل الحصر وذكرت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المرفقية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سبيل العموم دون تفصيل.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العامة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 تعتبر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معنوية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كل سلطة تمارس اختصاصاتها في حدود جغرافية معينة وهي: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 الدولة: لها مدلول في القانون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يختلف عن مدلولها في القانون الدستوري الذي يقوم على توافر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اركانها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الثلاثة.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 الولاية: جماعة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لامركزية تخضع لقانون الولاية رقم 12 ـ 07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 البلدية: جماعة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اقليمية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لامركزية قاعدية تخضع لقانون البلدية رقم 11  10.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2/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العامة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المرفقية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تمارس نشاطها في حدود اختصاصاتها الموضوعية بموجب قانون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انشائها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كالجامعة والمستشفى العمومي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الادارات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العمومية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المصلحية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وبندرج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تحت هذا التصنيف النقابات المهنية والجمعيات الحرفية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proofErr w:type="spellStart"/>
      <w:r w:rsidRPr="00AA367A">
        <w:rPr>
          <w:rFonts w:ascii="Sakkal Majalla" w:hAnsi="Sakkal Majalla" w:cs="Sakkal Majalla" w:hint="cs"/>
          <w:b/>
          <w:bCs/>
          <w:sz w:val="32"/>
          <w:szCs w:val="32"/>
          <w:rtl/>
        </w:rPr>
        <w:t>اهمية</w:t>
      </w:r>
      <w:proofErr w:type="spellEnd"/>
      <w:r w:rsidRPr="00AA367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التمييز بين </w:t>
      </w:r>
      <w:proofErr w:type="spellStart"/>
      <w:r w:rsidRPr="00AA367A">
        <w:rPr>
          <w:rFonts w:ascii="Sakkal Majalla" w:hAnsi="Sakkal Majalla" w:cs="Sakkal Majalla" w:hint="cs"/>
          <w:b/>
          <w:bCs/>
          <w:sz w:val="32"/>
          <w:szCs w:val="32"/>
          <w:rtl/>
        </w:rPr>
        <w:t>الاشخاص</w:t>
      </w:r>
      <w:proofErr w:type="spellEnd"/>
      <w:r w:rsidRPr="00AA367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المعنوية الخاصة و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المعنوية</w:t>
      </w:r>
      <w:r w:rsidRPr="00AA367A">
        <w:rPr>
          <w:rFonts w:ascii="Sakkal Majalla" w:hAnsi="Sakkal Majalla" w:cs="Sakkal Majalla" w:hint="cs"/>
          <w:b/>
          <w:bCs/>
          <w:sz w:val="32"/>
          <w:szCs w:val="32"/>
          <w:rtl/>
        </w:rPr>
        <w:t>العامة</w:t>
      </w:r>
      <w:proofErr w:type="spellEnd"/>
      <w:r w:rsidRPr="00AA367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AA367A">
        <w:rPr>
          <w:rFonts w:ascii="Sakkal Majalla" w:hAnsi="Sakkal Majalla" w:cs="Sakkal Majalla" w:hint="cs"/>
          <w:sz w:val="32"/>
          <w:szCs w:val="32"/>
          <w:rtl/>
        </w:rPr>
        <w:t>1ـ تحديد القانون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الذي يخضع له كل منهما : وعليه يخضع الشخص المعنوي العام للقانون العام ويخضع الشخص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المعنوب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الخاص للقانون الخاص ، وتبدو هذه النتيجة هي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اهم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معيار معتمد لتحديد طبيعة كل منهما.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 ـ تحديد القضاء المختص: يتقاضى الشخص المعنوي العام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القضاء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والمعنوي الخاص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امام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القضاء العادي.</w:t>
      </w:r>
    </w:p>
    <w:p w:rsidR="003A3DD4" w:rsidRPr="00AA367A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3 ـ تحديد طبيعة عمل كل منهما: يقوم الشخص المعنوي العام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باعمال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ادارية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ويأتي الشخص المعنوي الخاص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اعمال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عادية قد تكون مدنية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تجارية. </w:t>
      </w:r>
      <w:r w:rsidRPr="00AA367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4 ـ تحديد طبيعة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اموال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كل منهما: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اموال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ش م العام توصف بالمال العام وهذا يخضع للحماية المقررة للمال العام.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واموال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ش م الخاص توصف بالمال الخاص يخضع للحماية المقررة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الاموال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الخاصة. </w:t>
      </w:r>
    </w:p>
    <w:p w:rsidR="003A3DD4" w:rsidRPr="00484041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840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معايير التمييز بين </w:t>
      </w:r>
      <w:proofErr w:type="spellStart"/>
      <w:r w:rsidRPr="00484041">
        <w:rPr>
          <w:rFonts w:ascii="Sakkal Majalla" w:hAnsi="Sakkal Majalla" w:cs="Sakkal Majalla" w:hint="cs"/>
          <w:b/>
          <w:bCs/>
          <w:sz w:val="32"/>
          <w:szCs w:val="32"/>
          <w:rtl/>
        </w:rPr>
        <w:t>الاشخاص</w:t>
      </w:r>
      <w:proofErr w:type="spellEnd"/>
      <w:r w:rsidRPr="0048404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المعنوية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العامة والمع</w:t>
      </w:r>
      <w:r w:rsidRPr="00484041">
        <w:rPr>
          <w:rFonts w:ascii="Sakkal Majalla" w:hAnsi="Sakkal Majalla" w:cs="Sakkal Majalla" w:hint="cs"/>
          <w:b/>
          <w:bCs/>
          <w:sz w:val="32"/>
          <w:szCs w:val="32"/>
          <w:rtl/>
        </w:rPr>
        <w:t>نوية الخاصة: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1/ معيار المنشأ: الشخص المعنوي العام من خلق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الدولةوالشخص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 الخاص من خلق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الافراد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. وهي فكرة قاصرة لان هناك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معنوية خاصة تشارك الدولة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انشائها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2/ معيار الهدف: يستهدف الشخص المعنوي العام المصلحة العامة ويستهدف الشخص المعنوي الخاص المصلحة الخاصة. وبالرغم من وجاهته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الواقع يشهد وجود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معنوية خاصة تستهدف المصلحة العامة مثل المشاريع الخاصة ذات النفع العام.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3/ معيار طبيعة النشاط: يقوم الشخص المعنوي العام بنشاط عام ويقوم الشخص المعنوي الخاص بنشاط خاص. ولكن هناك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معنوية العامة تقوم بنشاط خاص كالبنوك العمومية.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4/ معيار التمويل العام: تمول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العامة من المال العام وتمول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الخاصة من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الاموال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الخاصة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بالافراد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المكونبن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لها. ولكننا نسجل وجود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معنوية خاصة ممولة من طرف الدولة.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5/ معيار السلطة العامة وامتيازاتها: الشخص المعنوي العام يتمتع بمظاهر السلطة العامة وامتيازاتها والشخص المعنوي الخاص لا يتمتع بذلك. لا يعول على هذا المعيار في حالة تصرف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الادارة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كشخص معنوي خاص.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6/ معيار الانضمام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الاجباري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: الانضمام 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العامة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اجباري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والانخراط في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الخاصة اختياري. ولكننا قد نجد شخص معنوي عام يجعل الانضمام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اليه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اختياري والعكس صحيح.</w:t>
      </w:r>
    </w:p>
    <w:p w:rsidR="003A3DD4" w:rsidRPr="00EF7668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F766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المعيار الراجح للتمييز بين </w:t>
      </w:r>
      <w:proofErr w:type="spellStart"/>
      <w:r w:rsidRPr="00EF7668">
        <w:rPr>
          <w:rFonts w:ascii="Sakkal Majalla" w:hAnsi="Sakkal Majalla" w:cs="Sakkal Majalla" w:hint="cs"/>
          <w:b/>
          <w:bCs/>
          <w:sz w:val="32"/>
          <w:szCs w:val="32"/>
          <w:rtl/>
        </w:rPr>
        <w:t>الاشخاص</w:t>
      </w:r>
      <w:proofErr w:type="spellEnd"/>
      <w:r w:rsidRPr="00EF766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المعنوية العامة والخاصة: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هو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معيار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مركب يتكون من عنصرين: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أـ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عنصر شخصي ذاتي: ينظر الى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ارادة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المشرع هل استهدف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انشاء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شخص معنوي عام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معنوي خاص.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 ـ عنصر موضوعي وتكميلي:  يتضمن كل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الافكار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التي تقوم عليها المعايير السابقة مجتمعة كدلائل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هذا الشخص المعنوي خاص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عام.     </w:t>
      </w:r>
    </w:p>
    <w:p w:rsidR="003A3DD4" w:rsidRPr="00EF7668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F766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نهاية الشخصية المعنوية: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نتناول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اسباب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انتهاء الشخصية المعنوية والآثار المترتبة على ذلك.</w:t>
      </w:r>
    </w:p>
    <w:p w:rsidR="003A3DD4" w:rsidRPr="00A82235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A82235">
        <w:rPr>
          <w:rFonts w:ascii="Sakkal Majalla" w:hAnsi="Sakkal Majalla" w:cs="Sakkal Majalla" w:hint="cs"/>
          <w:b/>
          <w:bCs/>
          <w:sz w:val="32"/>
          <w:szCs w:val="32"/>
          <w:rtl/>
        </w:rPr>
        <w:t>اسباب</w:t>
      </w:r>
      <w:proofErr w:type="spellEnd"/>
      <w:r w:rsidRPr="00A822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انتهاء الشخصية المعنوية: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1ـ انتهاء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الاجل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المحدد في قانون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انشائها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، وهذا بالنسبة للأشخاص المعنوية الخاصة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2 ـ تحقق الهدف المنشود، وهذا بالنسبة للأشخاص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المعنوية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الخاصة عموما.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3 ـ الحل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او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الالغاء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، 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يصدق حتى على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الاشخاص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المعنوية العامة.</w:t>
      </w:r>
    </w:p>
    <w:p w:rsidR="003A3DD4" w:rsidRPr="00A82235" w:rsidRDefault="003A3DD4" w:rsidP="003A3DD4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A82235">
        <w:rPr>
          <w:rFonts w:ascii="Sakkal Majalla" w:hAnsi="Sakkal Majalla" w:cs="Sakkal Majalla" w:hint="cs"/>
          <w:b/>
          <w:bCs/>
          <w:sz w:val="32"/>
          <w:szCs w:val="32"/>
          <w:rtl/>
        </w:rPr>
        <w:t>آثار</w:t>
      </w:r>
      <w:proofErr w:type="gramEnd"/>
      <w:r w:rsidRPr="00A822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انتهاء الشخصية المعنوية:  </w:t>
      </w:r>
    </w:p>
    <w:p w:rsidR="003A3DD4" w:rsidRDefault="003A3DD4" w:rsidP="003A3DD4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بالنسبة للشخص المعنوي الخاص يجب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يخضع الى التصفية فهل يمكن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ينسحب هذا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الاجراء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على الشخص المعنوي العام ، يبدو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ان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</w:rPr>
        <w:t>الاجابة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</w:rPr>
        <w:t xml:space="preserve"> هي نعم ولكن تصفية بطريقة خاصة تتناسب وطبيعة الشخص المعنوي العام.</w:t>
      </w:r>
    </w:p>
    <w:p w:rsidR="00BA4F98" w:rsidRDefault="00BA4F98"/>
    <w:sectPr w:rsidR="00BA4F98" w:rsidSect="00BA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5AA"/>
    <w:multiLevelType w:val="hybridMultilevel"/>
    <w:tmpl w:val="2D34A0DE"/>
    <w:lvl w:ilvl="0" w:tplc="F4F4005C">
      <w:numFmt w:val="bullet"/>
      <w:lvlText w:val="-"/>
      <w:lvlJc w:val="left"/>
      <w:pPr>
        <w:ind w:left="45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A3DD4"/>
    <w:rsid w:val="003A3DD4"/>
    <w:rsid w:val="00444BCF"/>
    <w:rsid w:val="005435D6"/>
    <w:rsid w:val="007B42F1"/>
    <w:rsid w:val="00BA4F98"/>
    <w:rsid w:val="00B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D4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2021-01-26T14:17:00Z</dcterms:created>
  <dcterms:modified xsi:type="dcterms:W3CDTF">2021-01-26T14:17:00Z</dcterms:modified>
</cp:coreProperties>
</file>